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before="573" w:after="286"/>
        <w:rPr>
          <w:rFonts w:hint="default" w:ascii="Times New Roman" w:hAnsi="Times New Roman" w:cs="Times New Roman"/>
        </w:rPr>
      </w:pPr>
      <w:r>
        <w:rPr>
          <w:rFonts w:hint="default" w:ascii="Times New Roman" w:hAnsi="Times New Roman" w:cs="Times New Roman"/>
        </w:rPr>
        <w:t>《202</w:t>
      </w:r>
      <w:r>
        <w:rPr>
          <w:rFonts w:hint="default" w:ascii="Times New Roman" w:hAnsi="Times New Roman" w:cs="Times New Roman"/>
          <w:lang w:val="en-US" w:eastAsia="zh-CN"/>
        </w:rPr>
        <w:t>5</w:t>
      </w:r>
      <w:r>
        <w:rPr>
          <w:rFonts w:hint="default" w:ascii="Times New Roman" w:hAnsi="Times New Roman" w:cs="Times New Roman"/>
        </w:rPr>
        <w:t>年慈溪市推进产业高质量发展的政策意见》(征求意见稿)起草说明</w:t>
      </w:r>
    </w:p>
    <w:p>
      <w:pPr>
        <w:pStyle w:val="6"/>
        <w:ind w:firstLine="622"/>
        <w:rPr>
          <w:rFonts w:hint="default" w:ascii="Times New Roman" w:hAnsi="Times New Roman" w:cs="Times New Roman"/>
        </w:rPr>
      </w:pPr>
      <w:r>
        <w:rPr>
          <w:rFonts w:hint="default" w:ascii="Times New Roman" w:hAnsi="Times New Roman" w:cs="Times New Roman"/>
        </w:rPr>
        <w:t>一、政策意见制定背景和过程</w:t>
      </w:r>
    </w:p>
    <w:p>
      <w:pPr>
        <w:pStyle w:val="4"/>
        <w:spacing w:line="540" w:lineRule="exact"/>
        <w:ind w:firstLine="622"/>
        <w:rPr>
          <w:rFonts w:hint="default" w:ascii="Times New Roman" w:hAnsi="Times New Roman" w:cs="Times New Roman"/>
        </w:rPr>
      </w:pPr>
      <w:r>
        <w:rPr>
          <w:rFonts w:hint="default" w:ascii="Times New Roman" w:hAnsi="Times New Roman" w:cs="Times New Roman"/>
          <w:shd w:val="clear" w:color="auto" w:fill="auto"/>
          <w:lang w:val="en-US" w:eastAsia="zh-CN"/>
        </w:rPr>
        <w:t>为深入贯彻国家、省、市新型工业化战略部署，坚持以高质量发展为主题，推动科技创新和产业创新深度融合，大力发展新质生产力，市经信局和市财政局</w:t>
      </w:r>
      <w:r>
        <w:rPr>
          <w:rFonts w:hint="default" w:ascii="Times New Roman" w:hAnsi="Times New Roman" w:cs="Times New Roman"/>
          <w:shd w:val="clear" w:color="auto" w:fill="auto"/>
        </w:rPr>
        <w:t>会同市发改局、市科技局</w:t>
      </w:r>
      <w:r>
        <w:rPr>
          <w:rFonts w:hint="default" w:ascii="Times New Roman" w:hAnsi="Times New Roman" w:cs="Times New Roman"/>
          <w:shd w:val="clear" w:color="auto" w:fill="auto"/>
          <w:lang w:val="en-US" w:eastAsia="zh-CN"/>
        </w:rPr>
        <w:t>、市交通局</w:t>
      </w:r>
      <w:r>
        <w:rPr>
          <w:rFonts w:hint="default" w:ascii="Times New Roman" w:hAnsi="Times New Roman" w:cs="Times New Roman"/>
          <w:shd w:val="clear" w:color="auto" w:fill="auto"/>
        </w:rPr>
        <w:t>、市商务局、市市场监管局、市金融发展服务中心</w:t>
      </w:r>
      <w:r>
        <w:rPr>
          <w:rFonts w:hint="default" w:ascii="Times New Roman" w:hAnsi="Times New Roman" w:cs="Times New Roman"/>
          <w:shd w:val="clear" w:color="auto" w:fill="auto"/>
          <w:lang w:eastAsia="zh-CN"/>
        </w:rPr>
        <w:t>、</w:t>
      </w:r>
      <w:r>
        <w:rPr>
          <w:rFonts w:hint="default" w:ascii="Times New Roman" w:hAnsi="Times New Roman" w:cs="Times New Roman"/>
          <w:shd w:val="clear" w:color="auto" w:fill="auto"/>
          <w:lang w:val="en-US" w:eastAsia="zh-CN"/>
        </w:rPr>
        <w:t>市投促中心</w:t>
      </w:r>
      <w:r>
        <w:rPr>
          <w:rFonts w:hint="default" w:ascii="Times New Roman" w:hAnsi="Times New Roman" w:cs="Times New Roman"/>
          <w:shd w:val="clear" w:color="auto" w:fill="auto"/>
        </w:rPr>
        <w:t>拟定了《202</w:t>
      </w:r>
      <w:r>
        <w:rPr>
          <w:rFonts w:hint="default" w:ascii="Times New Roman" w:hAnsi="Times New Roman" w:cs="Times New Roman"/>
          <w:shd w:val="clear" w:color="auto" w:fill="auto"/>
          <w:lang w:val="en-US" w:eastAsia="zh-CN"/>
        </w:rPr>
        <w:t>5</w:t>
      </w:r>
      <w:r>
        <w:rPr>
          <w:rFonts w:hint="default" w:ascii="Times New Roman" w:hAnsi="Times New Roman" w:cs="Times New Roman"/>
          <w:shd w:val="clear" w:color="auto" w:fill="auto"/>
        </w:rPr>
        <w:t>年慈溪市推进产业高质量发展的政策意见》（以下简称《政策意见》）</w:t>
      </w:r>
      <w:r>
        <w:rPr>
          <w:rFonts w:hint="default" w:ascii="Times New Roman" w:hAnsi="Times New Roman" w:cs="Times New Roman"/>
          <w:highlight w:val="none"/>
          <w:shd w:val="clear" w:color="auto" w:fill="auto"/>
          <w:lang w:val="en-US" w:eastAsia="zh-CN"/>
        </w:rPr>
        <w:t>。</w:t>
      </w:r>
    </w:p>
    <w:p>
      <w:pPr>
        <w:pStyle w:val="6"/>
        <w:ind w:firstLine="622"/>
        <w:rPr>
          <w:rFonts w:hint="default" w:ascii="Times New Roman" w:hAnsi="Times New Roman" w:cs="Times New Roman"/>
        </w:rPr>
      </w:pPr>
      <w:r>
        <w:rPr>
          <w:rFonts w:hint="default" w:ascii="Times New Roman" w:hAnsi="Times New Roman" w:cs="Times New Roman"/>
        </w:rPr>
        <w:t>二、政策意见主要内容</w:t>
      </w:r>
    </w:p>
    <w:p>
      <w:pPr>
        <w:spacing w:line="540" w:lineRule="exact"/>
        <w:ind w:firstLine="622"/>
        <w:rPr>
          <w:rFonts w:hint="default" w:ascii="Times New Roman" w:hAnsi="Times New Roman" w:cs="Times New Roman"/>
          <w:shd w:val="clear" w:color="auto" w:fill="auto"/>
        </w:rPr>
      </w:pPr>
      <w:r>
        <w:rPr>
          <w:rFonts w:hint="default" w:ascii="Times New Roman" w:hAnsi="Times New Roman" w:cs="Times New Roman"/>
          <w:shd w:val="clear" w:color="auto" w:fill="auto"/>
        </w:rPr>
        <w:t>《政策意见》</w:t>
      </w:r>
      <w:r>
        <w:rPr>
          <w:rFonts w:hint="default" w:ascii="Times New Roman" w:hAnsi="Times New Roman" w:cs="Times New Roman"/>
          <w:shd w:val="clear" w:color="auto" w:fill="auto"/>
          <w:lang w:val="en-US" w:eastAsia="zh-CN"/>
        </w:rPr>
        <w:t>相较去年</w:t>
      </w:r>
      <w:r>
        <w:rPr>
          <w:rFonts w:hint="default" w:ascii="Times New Roman" w:hAnsi="Times New Roman" w:cs="Times New Roman"/>
          <w:shd w:val="clear" w:color="auto" w:fill="auto"/>
        </w:rPr>
        <w:t>总体</w:t>
      </w:r>
      <w:r>
        <w:rPr>
          <w:rFonts w:hint="default" w:ascii="Times New Roman" w:hAnsi="Times New Roman" w:cs="Times New Roman"/>
          <w:shd w:val="clear" w:color="auto" w:fill="auto"/>
          <w:lang w:val="en-US" w:eastAsia="zh-CN"/>
        </w:rPr>
        <w:t>体现了延续性</w:t>
      </w:r>
      <w:r>
        <w:rPr>
          <w:rFonts w:hint="default" w:ascii="Times New Roman" w:hAnsi="Times New Roman" w:cs="Times New Roman"/>
          <w:shd w:val="clear" w:color="auto" w:fill="auto"/>
          <w:lang w:eastAsia="zh-CN"/>
        </w:rPr>
        <w:t>，</w:t>
      </w:r>
      <w:r>
        <w:rPr>
          <w:rFonts w:hint="default" w:ascii="Times New Roman" w:hAnsi="Times New Roman" w:cs="Times New Roman"/>
          <w:shd w:val="clear" w:color="auto" w:fill="auto"/>
          <w:lang w:val="en-US" w:eastAsia="zh-CN"/>
        </w:rPr>
        <w:t>并</w:t>
      </w:r>
      <w:r>
        <w:rPr>
          <w:rFonts w:hint="default" w:ascii="Times New Roman" w:hAnsi="Times New Roman" w:cs="Times New Roman"/>
          <w:shd w:val="clear" w:color="auto" w:fill="auto"/>
        </w:rPr>
        <w:t>对</w:t>
      </w:r>
      <w:r>
        <w:rPr>
          <w:rFonts w:hint="default" w:ascii="Times New Roman" w:hAnsi="Times New Roman" w:cs="Times New Roman"/>
          <w:shd w:val="clear" w:color="auto" w:fill="auto"/>
          <w:lang w:val="en-US" w:eastAsia="zh-CN"/>
        </w:rPr>
        <w:t>部分政策资金和项目进行了优化提升，共分为八个强化和一个附则</w:t>
      </w:r>
      <w:r>
        <w:rPr>
          <w:rFonts w:hint="default" w:ascii="Times New Roman" w:hAnsi="Times New Roman" w:cs="Times New Roman"/>
          <w:color w:val="000000"/>
          <w:szCs w:val="32"/>
          <w:shd w:val="clear" w:color="auto" w:fill="auto"/>
          <w:lang w:val="en-US" w:eastAsia="zh-CN" w:bidi="ar"/>
        </w:rPr>
        <w:t>：</w:t>
      </w:r>
    </w:p>
    <w:p>
      <w:pPr>
        <w:spacing w:line="540" w:lineRule="exact"/>
        <w:ind w:firstLine="625"/>
        <w:rPr>
          <w:rStyle w:val="23"/>
          <w:rFonts w:hint="default" w:ascii="Times New Roman" w:hAnsi="Times New Roman" w:eastAsia="仿宋_GB2312" w:cs="Times New Roman"/>
          <w:iCs/>
          <w:u w:val="none"/>
          <w:shd w:val="clear" w:color="auto" w:fill="auto"/>
          <w:lang w:eastAsia="zh-CN"/>
        </w:rPr>
      </w:pPr>
      <w:r>
        <w:rPr>
          <w:rStyle w:val="16"/>
          <w:rFonts w:hint="default" w:ascii="Times New Roman" w:hAnsi="Times New Roman" w:cs="Times New Roman"/>
          <w:u w:val="none"/>
          <w:shd w:val="clear" w:color="auto" w:fill="auto"/>
        </w:rPr>
        <w:t>（一）强化数实深度融合</w:t>
      </w:r>
      <w:r>
        <w:rPr>
          <w:rStyle w:val="16"/>
          <w:rFonts w:hint="default" w:ascii="Times New Roman" w:hAnsi="Times New Roman" w:eastAsia="仿宋_GB2312" w:cs="Times New Roman"/>
          <w:b w:val="0"/>
          <w:bCs/>
          <w:u w:val="none"/>
          <w:shd w:val="clear" w:color="auto" w:fill="auto"/>
        </w:rPr>
        <w:t>。</w:t>
      </w:r>
      <w:r>
        <w:rPr>
          <w:rStyle w:val="16"/>
          <w:rFonts w:hint="default" w:ascii="Times New Roman" w:hAnsi="Times New Roman" w:eastAsia="仿宋_GB2312" w:cs="Times New Roman"/>
          <w:b w:val="0"/>
          <w:bCs/>
          <w:u w:val="none"/>
          <w:shd w:val="clear" w:color="auto" w:fill="auto"/>
          <w:lang w:val="en-US" w:eastAsia="zh-CN"/>
        </w:rPr>
        <w:t>由经信局牵头实施，</w:t>
      </w:r>
      <w:r>
        <w:rPr>
          <w:rStyle w:val="23"/>
          <w:rFonts w:hint="default" w:ascii="Times New Roman" w:hAnsi="Times New Roman" w:cs="Times New Roman"/>
          <w:iCs/>
          <w:u w:val="none"/>
          <w:shd w:val="clear" w:color="auto" w:fill="auto"/>
        </w:rPr>
        <w:t>共</w:t>
      </w:r>
      <w:r>
        <w:rPr>
          <w:rStyle w:val="23"/>
          <w:rFonts w:hint="default" w:ascii="Times New Roman" w:hAnsi="Times New Roman" w:cs="Times New Roman"/>
          <w:iCs/>
          <w:u w:val="none"/>
          <w:shd w:val="clear" w:color="auto" w:fill="auto"/>
          <w:lang w:val="en-US" w:eastAsia="zh-CN"/>
        </w:rPr>
        <w:t>两方面5条意见，</w:t>
      </w:r>
      <w:r>
        <w:rPr>
          <w:rStyle w:val="23"/>
          <w:rFonts w:hint="default" w:ascii="Times New Roman" w:hAnsi="Times New Roman" w:cs="Times New Roman"/>
          <w:b/>
          <w:bCs/>
          <w:iCs/>
          <w:u w:val="none"/>
          <w:shd w:val="clear" w:color="auto" w:fill="auto"/>
          <w:lang w:val="en-US" w:eastAsia="zh-CN"/>
        </w:rPr>
        <w:t>一是数字产业化方面</w:t>
      </w:r>
      <w:r>
        <w:rPr>
          <w:rStyle w:val="23"/>
          <w:rFonts w:hint="default" w:ascii="Times New Roman" w:hAnsi="Times New Roman" w:cs="Times New Roman"/>
          <w:b w:val="0"/>
          <w:bCs w:val="0"/>
          <w:iCs/>
          <w:u w:val="none"/>
          <w:shd w:val="clear" w:color="auto" w:fill="auto"/>
          <w:lang w:val="en-US" w:eastAsia="zh-CN"/>
        </w:rPr>
        <w:t>：重点支持数字经济制造业和服务业培育发展，对营收增速较快的规上数字经济制造业和</w:t>
      </w:r>
      <w:r>
        <w:rPr>
          <w:rFonts w:hint="default" w:ascii="Times New Roman" w:hAnsi="Times New Roman" w:cs="Times New Roman"/>
          <w:highlight w:val="none"/>
          <w:u w:val="none"/>
          <w:lang w:val="en-US" w:eastAsia="zh-CN"/>
        </w:rPr>
        <w:t>软件信息服务业</w:t>
      </w:r>
      <w:r>
        <w:rPr>
          <w:rStyle w:val="23"/>
          <w:rFonts w:hint="default" w:ascii="Times New Roman" w:hAnsi="Times New Roman" w:cs="Times New Roman"/>
          <w:b w:val="0"/>
          <w:bCs w:val="0"/>
          <w:iCs/>
          <w:u w:val="none"/>
          <w:shd w:val="clear" w:color="auto" w:fill="auto"/>
          <w:lang w:val="en-US" w:eastAsia="zh-CN"/>
        </w:rPr>
        <w:t>企业给予补助，</w:t>
      </w:r>
      <w:r>
        <w:rPr>
          <w:rFonts w:hint="default" w:ascii="Times New Roman" w:hAnsi="Times New Roman" w:cs="Times New Roman"/>
          <w:highlight w:val="none"/>
          <w:u w:val="none"/>
          <w:lang w:val="en-US" w:eastAsia="zh-CN"/>
        </w:rPr>
        <w:t>对当年度新列入宁波市软件首版次目录的软件产品按每个产品最高10万元对企业予以奖励，对列入省数商企业给予每家最高20万元的奖励，对数字化服务商在我市设立的数字化改造服务平台硬件投入给予最高50%、不超过10万元补助</w:t>
      </w:r>
      <w:r>
        <w:rPr>
          <w:rStyle w:val="23"/>
          <w:rFonts w:hint="default" w:ascii="Times New Roman" w:hAnsi="Times New Roman" w:cs="Times New Roman"/>
          <w:iCs/>
          <w:u w:val="none"/>
          <w:shd w:val="clear" w:color="auto" w:fill="auto"/>
        </w:rPr>
        <w:t>。</w:t>
      </w:r>
      <w:r>
        <w:rPr>
          <w:rStyle w:val="23"/>
          <w:rFonts w:hint="default" w:ascii="Times New Roman" w:hAnsi="Times New Roman" w:cs="Times New Roman"/>
          <w:b/>
          <w:bCs/>
          <w:iCs/>
          <w:u w:val="none"/>
          <w:shd w:val="clear" w:color="auto" w:fill="auto"/>
        </w:rPr>
        <w:t>二是</w:t>
      </w:r>
      <w:r>
        <w:rPr>
          <w:rStyle w:val="23"/>
          <w:rFonts w:hint="default" w:ascii="Times New Roman" w:hAnsi="Times New Roman" w:cs="Times New Roman"/>
          <w:b/>
          <w:bCs/>
          <w:iCs/>
          <w:u w:val="none"/>
          <w:shd w:val="clear" w:color="auto" w:fill="auto"/>
          <w:lang w:val="en-US" w:eastAsia="zh-CN"/>
        </w:rPr>
        <w:t>产业数字化方面</w:t>
      </w:r>
      <w:r>
        <w:rPr>
          <w:rStyle w:val="23"/>
          <w:rFonts w:hint="default" w:ascii="Times New Roman" w:hAnsi="Times New Roman" w:cs="Times New Roman"/>
          <w:iCs/>
          <w:u w:val="none"/>
          <w:shd w:val="clear" w:color="auto" w:fill="auto"/>
          <w:lang w:val="en-US" w:eastAsia="zh-CN"/>
        </w:rPr>
        <w:t>：从</w:t>
      </w:r>
      <w:r>
        <w:rPr>
          <w:rFonts w:hint="default" w:ascii="Times New Roman" w:hAnsi="Times New Roman" w:cs="Times New Roman"/>
          <w:b w:val="0"/>
          <w:bCs w:val="0"/>
          <w:highlight w:val="none"/>
          <w:u w:val="none"/>
          <w:lang w:val="en-US" w:eastAsia="zh-CN"/>
        </w:rPr>
        <w:t>推进工业企业数字化改造全覆盖、推进数实融合发展、</w:t>
      </w:r>
      <w:r>
        <w:rPr>
          <w:rFonts w:hint="default" w:ascii="Times New Roman" w:hAnsi="Times New Roman" w:cs="Times New Roman"/>
          <w:kern w:val="0"/>
          <w:szCs w:val="32"/>
          <w:highlight w:val="none"/>
          <w:u w:val="none"/>
          <w:lang w:val="en-US" w:eastAsia="zh-CN"/>
        </w:rPr>
        <w:t>支持数字化车间/智能工厂建设三个层面制定了系列奖补政策</w:t>
      </w:r>
      <w:r>
        <w:rPr>
          <w:rStyle w:val="23"/>
          <w:rFonts w:hint="default" w:ascii="Times New Roman" w:hAnsi="Times New Roman" w:cs="Times New Roman"/>
          <w:iCs/>
          <w:u w:val="none"/>
          <w:shd w:val="clear" w:color="auto" w:fill="auto"/>
          <w:lang w:eastAsia="zh-CN"/>
        </w:rPr>
        <w:t>。</w:t>
      </w:r>
    </w:p>
    <w:p>
      <w:pPr>
        <w:ind w:firstLine="625"/>
        <w:rPr>
          <w:rStyle w:val="23"/>
          <w:rFonts w:hint="default" w:ascii="Times New Roman" w:hAnsi="Times New Roman" w:eastAsia="仿宋_GB2312" w:cs="Times New Roman"/>
          <w:u w:val="none"/>
          <w:shd w:val="clear" w:color="auto" w:fill="auto"/>
          <w:lang w:val="en-US" w:eastAsia="zh-CN"/>
        </w:rPr>
      </w:pPr>
      <w:r>
        <w:rPr>
          <w:rStyle w:val="16"/>
          <w:rFonts w:hint="default" w:ascii="Times New Roman" w:hAnsi="Times New Roman" w:cs="Times New Roman"/>
          <w:u w:val="none"/>
          <w:shd w:val="clear" w:color="auto" w:fill="auto"/>
        </w:rPr>
        <w:t>（二）强化产业优化升级</w:t>
      </w:r>
      <w:r>
        <w:rPr>
          <w:rStyle w:val="16"/>
          <w:rFonts w:hint="default" w:ascii="Times New Roman" w:hAnsi="Times New Roman" w:eastAsia="仿宋_GB2312" w:cs="Times New Roman"/>
          <w:b w:val="0"/>
          <w:bCs/>
          <w:u w:val="none"/>
          <w:shd w:val="clear" w:color="auto" w:fill="auto"/>
        </w:rPr>
        <w:t>。</w:t>
      </w:r>
      <w:r>
        <w:rPr>
          <w:rStyle w:val="16"/>
          <w:rFonts w:hint="default" w:ascii="Times New Roman" w:hAnsi="Times New Roman" w:eastAsia="仿宋_GB2312" w:cs="Times New Roman"/>
          <w:b w:val="0"/>
          <w:bCs/>
          <w:u w:val="none"/>
          <w:shd w:val="clear" w:color="auto" w:fill="auto"/>
          <w:lang w:val="en-US" w:eastAsia="zh-CN"/>
        </w:rPr>
        <w:t>由经信局牵头实施，</w:t>
      </w:r>
      <w:r>
        <w:rPr>
          <w:rStyle w:val="23"/>
          <w:rFonts w:hint="default" w:ascii="Times New Roman" w:hAnsi="Times New Roman" w:cs="Times New Roman"/>
          <w:iCs/>
          <w:u w:val="none"/>
          <w:shd w:val="clear" w:color="auto" w:fill="auto"/>
        </w:rPr>
        <w:t>共</w:t>
      </w:r>
      <w:r>
        <w:rPr>
          <w:rStyle w:val="23"/>
          <w:rFonts w:hint="default" w:ascii="Times New Roman" w:hAnsi="Times New Roman" w:cs="Times New Roman"/>
          <w:iCs/>
          <w:u w:val="none"/>
          <w:shd w:val="clear" w:color="auto" w:fill="auto"/>
          <w:lang w:val="en-US" w:eastAsia="zh-CN"/>
        </w:rPr>
        <w:t>八方面11条意见，</w:t>
      </w:r>
      <w:r>
        <w:rPr>
          <w:rStyle w:val="23"/>
          <w:rFonts w:hint="default" w:ascii="Times New Roman" w:hAnsi="Times New Roman" w:cs="Times New Roman"/>
          <w:b/>
          <w:bCs/>
          <w:iCs/>
          <w:u w:val="none"/>
          <w:shd w:val="clear" w:color="auto" w:fill="auto"/>
          <w:lang w:val="en-US" w:eastAsia="zh-CN"/>
        </w:rPr>
        <w:t>一是推进“241”先进制造业集群建设方面：</w:t>
      </w:r>
      <w:r>
        <w:rPr>
          <w:rStyle w:val="23"/>
          <w:rFonts w:hint="default" w:ascii="Times New Roman" w:hAnsi="Times New Roman" w:cs="Times New Roman"/>
          <w:iCs/>
          <w:u w:val="none"/>
          <w:shd w:val="clear" w:color="auto" w:fill="auto"/>
          <w:lang w:val="en-US" w:eastAsia="zh-CN"/>
        </w:rPr>
        <w:t>对家电、机器人、低空经济、未来产业、生物医药等领域给予重点政策扶持。</w:t>
      </w:r>
      <w:r>
        <w:rPr>
          <w:rStyle w:val="23"/>
          <w:rFonts w:hint="default" w:ascii="Times New Roman" w:hAnsi="Times New Roman" w:cs="Times New Roman"/>
          <w:b/>
          <w:bCs/>
          <w:iCs/>
          <w:u w:val="none"/>
          <w:shd w:val="clear" w:color="auto" w:fill="auto"/>
          <w:lang w:val="en-US" w:eastAsia="zh-CN"/>
        </w:rPr>
        <w:t>二是支持重点（重大）制造业投资项目建设方面：</w:t>
      </w:r>
      <w:r>
        <w:rPr>
          <w:rStyle w:val="23"/>
          <w:rFonts w:hint="default" w:ascii="Times New Roman" w:hAnsi="Times New Roman" w:cs="Times New Roman"/>
          <w:iCs/>
          <w:u w:val="none"/>
          <w:shd w:val="clear" w:color="auto" w:fill="auto"/>
          <w:lang w:val="en-US" w:eastAsia="zh-CN"/>
        </w:rPr>
        <w:t>对一季度投资达到1500万元、3000万元、5000万元、1亿元以上的，分别给予每家企业10、15、20万元奖励。</w:t>
      </w:r>
      <w:r>
        <w:rPr>
          <w:rStyle w:val="23"/>
          <w:rFonts w:hint="default" w:ascii="Times New Roman" w:hAnsi="Times New Roman" w:cs="Times New Roman"/>
          <w:b/>
          <w:bCs/>
          <w:iCs/>
          <w:u w:val="none"/>
          <w:shd w:val="clear" w:color="auto" w:fill="auto"/>
          <w:lang w:val="en-US" w:eastAsia="zh-CN"/>
        </w:rPr>
        <w:t>三是支持加大企业技改投资方面：</w:t>
      </w:r>
      <w:r>
        <w:rPr>
          <w:rStyle w:val="23"/>
          <w:rFonts w:hint="default" w:ascii="Times New Roman" w:hAnsi="Times New Roman" w:cs="Times New Roman"/>
          <w:iCs/>
          <w:u w:val="none"/>
          <w:shd w:val="clear" w:color="auto" w:fill="auto"/>
          <w:lang w:val="en-US" w:eastAsia="zh-CN"/>
        </w:rPr>
        <w:t>对设备投入额</w:t>
      </w:r>
      <w:r>
        <w:rPr>
          <w:rFonts w:hint="default" w:ascii="Times New Roman" w:hAnsi="Times New Roman" w:cs="Times New Roman"/>
          <w:kern w:val="0"/>
          <w:szCs w:val="32"/>
          <w:highlight w:val="none"/>
          <w:u w:val="none"/>
        </w:rPr>
        <w:t>500万元以上</w:t>
      </w:r>
      <w:r>
        <w:rPr>
          <w:rFonts w:hint="default" w:ascii="Times New Roman" w:hAnsi="Times New Roman" w:cs="Times New Roman"/>
          <w:kern w:val="0"/>
          <w:szCs w:val="32"/>
          <w:highlight w:val="none"/>
          <w:u w:val="none"/>
          <w:lang w:val="en-US" w:eastAsia="zh-CN"/>
        </w:rPr>
        <w:t>的制造业项目，3000万元以下部分给予其</w:t>
      </w:r>
      <w:r>
        <w:rPr>
          <w:rFonts w:hint="default" w:ascii="Times New Roman" w:hAnsi="Times New Roman" w:cs="Times New Roman"/>
          <w:kern w:val="0"/>
          <w:szCs w:val="32"/>
          <w:highlight w:val="none"/>
          <w:u w:val="none"/>
        </w:rPr>
        <w:t>每100万</w:t>
      </w:r>
      <w:r>
        <w:rPr>
          <w:rFonts w:hint="default" w:ascii="Times New Roman" w:hAnsi="Times New Roman" w:cs="Times New Roman"/>
          <w:kern w:val="0"/>
          <w:szCs w:val="32"/>
          <w:highlight w:val="none"/>
          <w:u w:val="none"/>
          <w:lang w:val="en-US" w:eastAsia="zh-CN"/>
        </w:rPr>
        <w:t>元最高</w:t>
      </w:r>
      <w:r>
        <w:rPr>
          <w:rFonts w:hint="default" w:ascii="Times New Roman" w:hAnsi="Times New Roman" w:cs="Times New Roman"/>
          <w:kern w:val="0"/>
          <w:szCs w:val="32"/>
          <w:highlight w:val="none"/>
          <w:u w:val="none"/>
        </w:rPr>
        <w:t>4万元</w:t>
      </w:r>
      <w:r>
        <w:rPr>
          <w:rFonts w:hint="default" w:ascii="Times New Roman" w:hAnsi="Times New Roman" w:cs="Times New Roman"/>
          <w:kern w:val="0"/>
          <w:szCs w:val="32"/>
          <w:highlight w:val="none"/>
          <w:u w:val="none"/>
          <w:lang w:val="en-US" w:eastAsia="zh-CN"/>
        </w:rPr>
        <w:t>奖励、3000万元以上部分给予其每100万元最高6万元奖励</w:t>
      </w:r>
      <w:r>
        <w:rPr>
          <w:rFonts w:hint="default" w:ascii="Times New Roman" w:hAnsi="Times New Roman" w:cs="Times New Roman"/>
          <w:kern w:val="0"/>
          <w:szCs w:val="32"/>
          <w:highlight w:val="none"/>
          <w:u w:val="none"/>
        </w:rPr>
        <w:t>，不足100万元部分不予奖励</w:t>
      </w:r>
      <w:r>
        <w:rPr>
          <w:rFonts w:hint="default" w:ascii="Times New Roman" w:hAnsi="Times New Roman" w:cs="Times New Roman"/>
          <w:kern w:val="0"/>
          <w:szCs w:val="32"/>
          <w:highlight w:val="none"/>
          <w:u w:val="none"/>
          <w:lang w:eastAsia="zh-CN"/>
        </w:rPr>
        <w:t>，</w:t>
      </w:r>
      <w:r>
        <w:rPr>
          <w:rFonts w:hint="default" w:ascii="Times New Roman" w:hAnsi="Times New Roman" w:cs="Times New Roman"/>
          <w:kern w:val="0"/>
          <w:szCs w:val="32"/>
          <w:highlight w:val="none"/>
          <w:u w:val="none"/>
          <w:lang w:val="en-US" w:eastAsia="zh-CN"/>
        </w:rPr>
        <w:t>奖励总额</w:t>
      </w:r>
      <w:r>
        <w:rPr>
          <w:rFonts w:hint="default" w:ascii="Times New Roman" w:hAnsi="Times New Roman" w:cs="Times New Roman"/>
          <w:kern w:val="0"/>
          <w:szCs w:val="32"/>
          <w:highlight w:val="none"/>
          <w:u w:val="none"/>
        </w:rPr>
        <w:t>不超过300万元</w:t>
      </w:r>
      <w:r>
        <w:rPr>
          <w:rStyle w:val="23"/>
          <w:rFonts w:hint="default" w:ascii="Times New Roman" w:hAnsi="Times New Roman" w:cs="Times New Roman"/>
          <w:iCs/>
          <w:u w:val="none"/>
          <w:shd w:val="clear" w:color="auto" w:fill="auto"/>
          <w:lang w:val="en-US" w:eastAsia="zh-CN"/>
        </w:rPr>
        <w:t>。</w:t>
      </w:r>
      <w:r>
        <w:rPr>
          <w:rStyle w:val="23"/>
          <w:rFonts w:hint="default" w:ascii="Times New Roman" w:hAnsi="Times New Roman" w:cs="Times New Roman"/>
          <w:b/>
          <w:bCs/>
          <w:iCs/>
          <w:u w:val="none"/>
          <w:shd w:val="clear" w:color="auto" w:fill="auto"/>
          <w:lang w:val="en-US" w:eastAsia="zh-CN"/>
        </w:rPr>
        <w:t>四是推动“一镇一业”块状行业整治提升方面</w:t>
      </w:r>
      <w:r>
        <w:rPr>
          <w:rStyle w:val="23"/>
          <w:rFonts w:hint="default" w:ascii="Times New Roman" w:hAnsi="Times New Roman" w:cs="Times New Roman"/>
          <w:b w:val="0"/>
          <w:bCs w:val="0"/>
          <w:iCs/>
          <w:u w:val="none"/>
          <w:shd w:val="clear" w:color="auto" w:fill="auto"/>
          <w:lang w:val="en-US" w:eastAsia="zh-CN"/>
        </w:rPr>
        <w:t>：对列入市级重点块状行业整治计划的给予一定扶持，</w:t>
      </w:r>
      <w:r>
        <w:rPr>
          <w:rStyle w:val="23"/>
          <w:rFonts w:hint="default" w:ascii="Times New Roman" w:hAnsi="Times New Roman" w:cs="Times New Roman"/>
          <w:iCs/>
          <w:u w:val="none"/>
          <w:shd w:val="clear" w:color="auto" w:fill="auto"/>
          <w:lang w:val="en-US" w:eastAsia="zh-CN"/>
        </w:rPr>
        <w:t>树立一批块状行业整治提升标杆企业，每家企业奖励5万元，深化“亩均论英雄”改革，对获得全市“亩均论英雄”十强的，给予每家企业最高10万元奖励。</w:t>
      </w:r>
      <w:r>
        <w:rPr>
          <w:rStyle w:val="23"/>
          <w:rFonts w:hint="default" w:ascii="Times New Roman" w:hAnsi="Times New Roman" w:cs="Times New Roman"/>
          <w:b/>
          <w:bCs/>
          <w:iCs/>
          <w:u w:val="none"/>
          <w:shd w:val="clear" w:color="auto" w:fill="auto"/>
          <w:lang w:val="en-US" w:eastAsia="zh-CN"/>
        </w:rPr>
        <w:t>五是推进“工业上楼”和低效工业用地改造提升方面</w:t>
      </w:r>
      <w:r>
        <w:rPr>
          <w:rStyle w:val="23"/>
          <w:rFonts w:hint="default" w:ascii="Times New Roman" w:hAnsi="Times New Roman" w:cs="Times New Roman"/>
          <w:b w:val="0"/>
          <w:bCs w:val="0"/>
          <w:iCs/>
          <w:u w:val="none"/>
          <w:shd w:val="clear" w:color="auto" w:fill="auto"/>
          <w:lang w:val="en-US" w:eastAsia="zh-CN"/>
        </w:rPr>
        <w:t>：为</w:t>
      </w:r>
      <w:r>
        <w:rPr>
          <w:rStyle w:val="23"/>
          <w:rFonts w:hint="default" w:ascii="Times New Roman" w:hAnsi="Times New Roman" w:cs="Times New Roman"/>
          <w:iCs/>
          <w:u w:val="none"/>
          <w:shd w:val="clear" w:color="auto" w:fill="auto"/>
          <w:lang w:val="en-US" w:eastAsia="zh-CN"/>
        </w:rPr>
        <w:t>提高存量工业用地容积率，给予工业集聚区（工业控制线范围）内、外的改造企业按实际新增建筑面积分别给予最高95元/平方米、48元/平方米的奖励；</w:t>
      </w:r>
      <w:r>
        <w:rPr>
          <w:rStyle w:val="23"/>
          <w:rFonts w:hint="default" w:ascii="Times New Roman" w:hAnsi="Times New Roman" w:cs="Times New Roman"/>
          <w:b/>
          <w:bCs/>
          <w:iCs/>
          <w:u w:val="none"/>
          <w:shd w:val="clear" w:color="auto" w:fill="auto"/>
          <w:lang w:val="en-US" w:eastAsia="zh-CN"/>
        </w:rPr>
        <w:t>六是推进工业集聚区规划建设方面：</w:t>
      </w:r>
      <w:r>
        <w:rPr>
          <w:rStyle w:val="23"/>
          <w:rFonts w:hint="default" w:ascii="Times New Roman" w:hAnsi="Times New Roman" w:cs="Times New Roman"/>
          <w:iCs/>
          <w:u w:val="none"/>
          <w:shd w:val="clear" w:color="auto" w:fill="auto"/>
          <w:lang w:val="en-US" w:eastAsia="zh-CN"/>
        </w:rPr>
        <w:t>鼓励镇（街道、园区）开展重点工业区块连片改造策划，对编制1000亩以上、1000-500亩区块的整体改造方案的，分别给予最高30万元、20万元的经费支持；以工业区块改造提升“十化三场景”体系技术指南为导向，对评为四星级、三星级区块改造项目分别给予最高30万元、20万元奖励</w:t>
      </w:r>
      <w:r>
        <w:rPr>
          <w:rFonts w:hint="default" w:ascii="Times New Roman" w:hAnsi="Times New Roman" w:cs="Times New Roman"/>
          <w:szCs w:val="32"/>
          <w:lang w:eastAsia="zh-CN"/>
        </w:rPr>
        <w:t>。</w:t>
      </w:r>
      <w:r>
        <w:rPr>
          <w:rStyle w:val="23"/>
          <w:rFonts w:hint="default" w:ascii="Times New Roman" w:hAnsi="Times New Roman" w:cs="Times New Roman"/>
          <w:b/>
          <w:bCs/>
          <w:iCs/>
          <w:u w:val="none"/>
          <w:shd w:val="clear" w:color="auto" w:fill="auto"/>
          <w:lang w:val="en-US" w:eastAsia="zh-CN"/>
        </w:rPr>
        <w:t>七是强化实施绿色低碳节能降耗示范工程方面：</w:t>
      </w:r>
      <w:r>
        <w:rPr>
          <w:rStyle w:val="23"/>
          <w:rFonts w:hint="default" w:ascii="Times New Roman" w:hAnsi="Times New Roman" w:cs="Times New Roman"/>
          <w:iCs/>
          <w:u w:val="none"/>
          <w:shd w:val="clear" w:color="auto" w:fill="auto"/>
          <w:lang w:val="en-US" w:eastAsia="zh-CN"/>
        </w:rPr>
        <w:t>从建立绿色制造体系、绿色低碳技术改造、</w:t>
      </w:r>
      <w:r>
        <w:rPr>
          <w:rFonts w:hint="default" w:ascii="Times New Roman" w:hAnsi="Times New Roman" w:cs="Times New Roman"/>
          <w:i w:val="0"/>
          <w:iCs w:val="0"/>
          <w:kern w:val="0"/>
          <w:szCs w:val="32"/>
          <w:highlight w:val="none"/>
          <w:u w:val="none"/>
          <w:lang w:val="en-US" w:eastAsia="zh-CN"/>
        </w:rPr>
        <w:t>推动工业企业“双碳”工作、</w:t>
      </w:r>
      <w:r>
        <w:rPr>
          <w:rFonts w:hint="default" w:ascii="Times New Roman" w:hAnsi="Times New Roman" w:eastAsia="仿宋_GB2312" w:cs="Times New Roman"/>
          <w:b w:val="0"/>
          <w:bCs w:val="0"/>
          <w:kern w:val="0"/>
          <w:szCs w:val="32"/>
          <w:highlight w:val="none"/>
          <w:u w:val="none"/>
        </w:rPr>
        <w:t>节能降耗</w:t>
      </w:r>
      <w:r>
        <w:rPr>
          <w:rFonts w:hint="default" w:ascii="Times New Roman" w:hAnsi="Times New Roman" w:cs="Times New Roman"/>
          <w:b w:val="0"/>
          <w:bCs w:val="0"/>
          <w:kern w:val="0"/>
          <w:szCs w:val="32"/>
          <w:highlight w:val="none"/>
          <w:u w:val="none"/>
          <w:lang w:val="en-US" w:eastAsia="zh-CN"/>
        </w:rPr>
        <w:t>四个层面制定了系列奖补政策</w:t>
      </w:r>
      <w:r>
        <w:rPr>
          <w:rStyle w:val="23"/>
          <w:rFonts w:hint="default" w:ascii="Times New Roman" w:hAnsi="Times New Roman" w:cs="Times New Roman"/>
          <w:iCs/>
          <w:u w:val="none"/>
          <w:shd w:val="clear" w:color="auto" w:fill="auto"/>
          <w:lang w:val="en-US" w:eastAsia="zh-CN"/>
        </w:rPr>
        <w:t>。</w:t>
      </w:r>
      <w:r>
        <w:rPr>
          <w:rStyle w:val="23"/>
          <w:rFonts w:hint="default" w:ascii="Times New Roman" w:hAnsi="Times New Roman" w:cs="Times New Roman"/>
          <w:b/>
          <w:bCs/>
          <w:iCs/>
          <w:u w:val="none"/>
          <w:shd w:val="clear" w:color="auto" w:fill="auto"/>
          <w:lang w:val="en-US" w:eastAsia="zh-CN"/>
        </w:rPr>
        <w:t>八是推进中小企业高质量集聚发展方面</w:t>
      </w:r>
      <w:r>
        <w:rPr>
          <w:rStyle w:val="23"/>
          <w:rFonts w:hint="default" w:ascii="Times New Roman" w:hAnsi="Times New Roman" w:cs="Times New Roman"/>
          <w:iCs/>
          <w:u w:val="none"/>
          <w:shd w:val="clear" w:color="auto" w:fill="auto"/>
          <w:lang w:val="en-US" w:eastAsia="zh-CN"/>
        </w:rPr>
        <w:t>：对当年认定为三星级、四星级和五星级小微企业园的运营管理机构分别给予最高20万元、30万元、50万元奖励，对绩效评价为A档、B档的运营管理机构分别给予最高15万元、7万元奖励，对获评宁波市中小企业特色产业集群的给予最高10万元奖励，</w:t>
      </w:r>
      <w:r>
        <w:rPr>
          <w:rFonts w:hint="default" w:ascii="Times New Roman" w:hAnsi="Times New Roman" w:cs="Times New Roman"/>
          <w:highlight w:val="none"/>
          <w:u w:val="none"/>
        </w:rPr>
        <w:t>支持“创客中国”创业创新大赛（慈溪赛区）活动</w:t>
      </w:r>
      <w:r>
        <w:rPr>
          <w:rFonts w:hint="default" w:ascii="Times New Roman" w:hAnsi="Times New Roman" w:cs="Times New Roman"/>
          <w:highlight w:val="none"/>
          <w:u w:val="none"/>
          <w:lang w:eastAsia="zh-CN"/>
        </w:rPr>
        <w:t>。</w:t>
      </w:r>
    </w:p>
    <w:p>
      <w:pPr>
        <w:spacing w:line="540" w:lineRule="exact"/>
        <w:ind w:firstLine="625"/>
        <w:rPr>
          <w:rFonts w:hint="default" w:ascii="Times New Roman" w:hAnsi="Times New Roman" w:eastAsia="仿宋_GB2312" w:cs="Times New Roman"/>
          <w:u w:val="none"/>
          <w:shd w:val="clear" w:color="auto" w:fill="auto"/>
          <w:lang w:val="en-US" w:eastAsia="zh-CN"/>
        </w:rPr>
      </w:pPr>
      <w:r>
        <w:rPr>
          <w:rStyle w:val="16"/>
          <w:rFonts w:hint="default" w:ascii="Times New Roman" w:hAnsi="Times New Roman" w:cs="Times New Roman"/>
          <w:u w:val="none"/>
          <w:shd w:val="clear" w:color="auto" w:fill="auto"/>
        </w:rPr>
        <w:t>（三）强化一流企业培育</w:t>
      </w:r>
      <w:r>
        <w:rPr>
          <w:rStyle w:val="16"/>
          <w:rFonts w:hint="default" w:ascii="Times New Roman" w:hAnsi="Times New Roman" w:eastAsia="仿宋_GB2312" w:cs="Times New Roman"/>
          <w:b w:val="0"/>
          <w:bCs/>
          <w:u w:val="none"/>
          <w:shd w:val="clear" w:color="auto" w:fill="auto"/>
        </w:rPr>
        <w:t>。</w:t>
      </w:r>
      <w:r>
        <w:rPr>
          <w:rStyle w:val="16"/>
          <w:rFonts w:hint="default" w:ascii="Times New Roman" w:hAnsi="Times New Roman" w:eastAsia="仿宋_GB2312" w:cs="Times New Roman"/>
          <w:b w:val="0"/>
          <w:bCs/>
          <w:u w:val="none"/>
          <w:shd w:val="clear" w:color="auto" w:fill="auto"/>
          <w:lang w:val="en-US" w:eastAsia="zh-CN"/>
        </w:rPr>
        <w:t>由经信局牵头实施，共七方面12条意见，</w:t>
      </w:r>
      <w:r>
        <w:rPr>
          <w:rStyle w:val="16"/>
          <w:rFonts w:hint="default" w:ascii="Times New Roman" w:hAnsi="Times New Roman" w:eastAsia="仿宋_GB2312" w:cs="Times New Roman"/>
          <w:b/>
          <w:bCs w:val="0"/>
          <w:i w:val="0"/>
          <w:iCs/>
          <w:u w:val="none"/>
          <w:shd w:val="clear" w:color="auto" w:fill="auto"/>
          <w:lang w:val="en-US" w:eastAsia="zh-CN"/>
        </w:rPr>
        <w:t>一是培育一批规模龙头企业方面</w:t>
      </w:r>
      <w:r>
        <w:rPr>
          <w:rStyle w:val="16"/>
          <w:rFonts w:hint="default" w:ascii="Times New Roman" w:hAnsi="Times New Roman" w:eastAsia="仿宋_GB2312" w:cs="Times New Roman"/>
          <w:b w:val="0"/>
          <w:bCs/>
          <w:u w:val="none"/>
          <w:shd w:val="clear" w:color="auto" w:fill="auto"/>
          <w:lang w:val="en-US" w:eastAsia="zh-CN"/>
        </w:rPr>
        <w:t>：优化调整了</w:t>
      </w:r>
      <w:r>
        <w:rPr>
          <w:rFonts w:hint="default" w:ascii="Times New Roman" w:hAnsi="Times New Roman" w:eastAsia="仿宋_GB2312" w:cs="Times New Roman"/>
          <w:highlight w:val="none"/>
          <w:u w:val="none"/>
        </w:rPr>
        <w:t>“大优强、绿新高”</w:t>
      </w:r>
      <w:r>
        <w:rPr>
          <w:rFonts w:hint="default" w:ascii="Times New Roman" w:hAnsi="Times New Roman" w:eastAsia="仿宋_GB2312" w:cs="Times New Roman"/>
          <w:highlight w:val="none"/>
          <w:u w:val="none"/>
          <w:lang w:val="en-US" w:eastAsia="zh-CN"/>
        </w:rPr>
        <w:t>政策，将</w:t>
      </w:r>
      <w:r>
        <w:rPr>
          <w:rFonts w:hint="default" w:ascii="Times New Roman" w:hAnsi="Times New Roman" w:eastAsia="仿宋_GB2312" w:cs="Times New Roman"/>
          <w:highlight w:val="none"/>
          <w:u w:val="none"/>
        </w:rPr>
        <w:t>“大优强”企业</w:t>
      </w:r>
      <w:r>
        <w:rPr>
          <w:rFonts w:hint="default" w:ascii="Times New Roman" w:hAnsi="Times New Roman" w:eastAsia="仿宋_GB2312" w:cs="Times New Roman"/>
          <w:highlight w:val="none"/>
          <w:u w:val="none"/>
          <w:lang w:val="en-US" w:eastAsia="zh-CN"/>
        </w:rPr>
        <w:t>范围扩大到</w:t>
      </w:r>
      <w:r>
        <w:rPr>
          <w:rFonts w:hint="default" w:ascii="Times New Roman" w:hAnsi="Times New Roman" w:eastAsia="仿宋_GB2312" w:cs="Times New Roman"/>
          <w:highlight w:val="none"/>
          <w:u w:val="none"/>
          <w:lang w:eastAsia="zh-CN"/>
        </w:rPr>
        <w:t>营收五亿元以上</w:t>
      </w:r>
      <w:r>
        <w:rPr>
          <w:rFonts w:hint="default" w:ascii="Times New Roman" w:hAnsi="Times New Roman" w:eastAsia="仿宋_GB2312" w:cs="Times New Roman"/>
          <w:highlight w:val="none"/>
          <w:u w:val="none"/>
          <w:lang w:val="en-US" w:eastAsia="zh-CN"/>
        </w:rPr>
        <w:t>企业或</w:t>
      </w:r>
      <w:r>
        <w:rPr>
          <w:rFonts w:hint="default" w:ascii="Times New Roman" w:hAnsi="Times New Roman" w:eastAsia="仿宋_GB2312" w:cs="Times New Roman"/>
          <w:highlight w:val="none"/>
          <w:u w:val="none"/>
          <w:lang w:eastAsia="zh-CN"/>
        </w:rPr>
        <w:t>单项冠军、专精特新“小巨人”</w:t>
      </w:r>
      <w:r>
        <w:rPr>
          <w:rFonts w:hint="default" w:ascii="Times New Roman" w:hAnsi="Times New Roman" w:eastAsia="仿宋_GB2312" w:cs="Times New Roman"/>
          <w:highlight w:val="none"/>
          <w:u w:val="none"/>
          <w:lang w:val="en-US" w:eastAsia="zh-CN"/>
        </w:rPr>
        <w:t>企业，并</w:t>
      </w:r>
      <w:r>
        <w:rPr>
          <w:rFonts w:hint="default" w:ascii="Times New Roman" w:hAnsi="Times New Roman" w:eastAsia="仿宋_GB2312" w:cs="Times New Roman"/>
          <w:highlight w:val="none"/>
          <w:u w:val="none"/>
        </w:rPr>
        <w:t>对其技改投资予以追加奖励</w:t>
      </w:r>
      <w:r>
        <w:rPr>
          <w:rStyle w:val="16"/>
          <w:rFonts w:hint="default" w:ascii="Times New Roman" w:hAnsi="Times New Roman" w:eastAsia="仿宋_GB2312" w:cs="Times New Roman"/>
          <w:b w:val="0"/>
          <w:bCs/>
          <w:u w:val="none"/>
          <w:shd w:val="clear" w:color="auto" w:fill="auto"/>
          <w:lang w:val="en-US" w:eastAsia="zh-CN"/>
        </w:rPr>
        <w:t>。</w:t>
      </w:r>
      <w:r>
        <w:rPr>
          <w:rStyle w:val="16"/>
          <w:rFonts w:hint="default" w:ascii="Times New Roman" w:hAnsi="Times New Roman" w:eastAsia="仿宋_GB2312" w:cs="Times New Roman"/>
          <w:b/>
          <w:bCs w:val="0"/>
          <w:u w:val="none"/>
          <w:shd w:val="clear" w:color="auto" w:fill="auto"/>
          <w:lang w:val="en-US" w:eastAsia="zh-CN"/>
        </w:rPr>
        <w:t>二是</w:t>
      </w:r>
      <w:r>
        <w:rPr>
          <w:rFonts w:hint="default" w:ascii="Times New Roman" w:hAnsi="Times New Roman" w:eastAsia="仿宋_GB2312" w:cs="Times New Roman"/>
          <w:b/>
          <w:bCs/>
          <w:highlight w:val="none"/>
          <w:u w:val="none"/>
        </w:rPr>
        <w:t>进规提升一批小微企业</w:t>
      </w:r>
      <w:r>
        <w:rPr>
          <w:rFonts w:hint="default" w:ascii="Times New Roman" w:hAnsi="Times New Roman" w:eastAsia="仿宋_GB2312" w:cs="Times New Roman"/>
          <w:b/>
          <w:bCs/>
          <w:highlight w:val="none"/>
          <w:u w:val="none"/>
          <w:lang w:val="en-US" w:eastAsia="zh-CN"/>
        </w:rPr>
        <w:t>方面</w:t>
      </w:r>
      <w:r>
        <w:rPr>
          <w:rFonts w:hint="default" w:ascii="Times New Roman" w:hAnsi="Times New Roman" w:eastAsia="仿宋_GB2312" w:cs="Times New Roman"/>
          <w:b w:val="0"/>
          <w:bCs w:val="0"/>
          <w:highlight w:val="none"/>
          <w:u w:val="none"/>
          <w:lang w:eastAsia="zh-CN"/>
        </w:rPr>
        <w:t>：</w:t>
      </w:r>
      <w:r>
        <w:rPr>
          <w:rFonts w:hint="default" w:ascii="Times New Roman" w:hAnsi="Times New Roman" w:eastAsia="仿宋_GB2312" w:cs="Times New Roman"/>
          <w:b w:val="0"/>
          <w:bCs w:val="0"/>
          <w:highlight w:val="none"/>
          <w:u w:val="none"/>
          <w:lang w:val="en-US" w:eastAsia="zh-CN"/>
        </w:rPr>
        <w:t>对月度进规、年度进规及</w:t>
      </w:r>
      <w:r>
        <w:rPr>
          <w:rFonts w:hint="default" w:ascii="Times New Roman" w:hAnsi="Times New Roman" w:eastAsia="仿宋_GB2312" w:cs="Times New Roman"/>
          <w:b w:val="0"/>
          <w:bCs w:val="0"/>
          <w:highlight w:val="none"/>
          <w:u w:val="none"/>
        </w:rPr>
        <w:t>规下样本企业优化</w:t>
      </w:r>
      <w:r>
        <w:rPr>
          <w:rFonts w:hint="default" w:ascii="Times New Roman" w:hAnsi="Times New Roman" w:eastAsia="仿宋_GB2312" w:cs="Times New Roman"/>
          <w:highlight w:val="none"/>
          <w:u w:val="none"/>
        </w:rPr>
        <w:t>提升</w:t>
      </w:r>
      <w:r>
        <w:rPr>
          <w:rFonts w:hint="default" w:ascii="Times New Roman" w:hAnsi="Times New Roman" w:eastAsia="仿宋_GB2312" w:cs="Times New Roman"/>
          <w:highlight w:val="none"/>
          <w:u w:val="none"/>
          <w:lang w:val="en-US" w:eastAsia="zh-CN"/>
        </w:rPr>
        <w:t>补助金额进行了优化调整。</w:t>
      </w:r>
      <w:r>
        <w:rPr>
          <w:rFonts w:hint="default" w:ascii="Times New Roman" w:hAnsi="Times New Roman" w:eastAsia="仿宋_GB2312" w:cs="Times New Roman"/>
          <w:b/>
          <w:bCs/>
          <w:highlight w:val="none"/>
          <w:u w:val="none"/>
          <w:lang w:val="en-US" w:eastAsia="zh-CN"/>
        </w:rPr>
        <w:t>三是做大做优一批服务业企业方面：</w:t>
      </w:r>
      <w:r>
        <w:rPr>
          <w:rFonts w:hint="default" w:ascii="Times New Roman" w:hAnsi="Times New Roman" w:eastAsia="仿宋_GB2312" w:cs="Times New Roman"/>
          <w:b w:val="0"/>
          <w:bCs w:val="0"/>
          <w:highlight w:val="none"/>
          <w:u w:val="none"/>
          <w:lang w:val="en-US" w:eastAsia="zh-CN"/>
        </w:rPr>
        <w:t>对2025年首次进规的规上专业服务业企业，对营收正增长的企业给予2025年当年营收总额2%的一次性补助，每家最高不超过50万元。对原规上专业服务业正增长企业，按其营业收入总量和增速情况，根据绩效按比例获补剩余资金。</w:t>
      </w:r>
      <w:r>
        <w:rPr>
          <w:rFonts w:hint="default" w:ascii="Times New Roman" w:hAnsi="Times New Roman" w:eastAsia="仿宋_GB2312" w:cs="Times New Roman"/>
          <w:b/>
          <w:bCs/>
          <w:highlight w:val="none"/>
          <w:u w:val="none"/>
          <w:lang w:val="en-US" w:eastAsia="zh-CN"/>
        </w:rPr>
        <w:t>四到七方面</w:t>
      </w:r>
      <w:r>
        <w:rPr>
          <w:rFonts w:hint="default" w:ascii="Times New Roman" w:hAnsi="Times New Roman" w:eastAsia="仿宋_GB2312" w:cs="Times New Roman"/>
          <w:b w:val="0"/>
          <w:bCs w:val="0"/>
          <w:highlight w:val="none"/>
          <w:u w:val="none"/>
          <w:lang w:val="en-US" w:eastAsia="zh-CN"/>
        </w:rPr>
        <w:t>基本与去年保持一致，对部分</w:t>
      </w:r>
      <w:r>
        <w:rPr>
          <w:rFonts w:hint="default" w:ascii="Times New Roman" w:hAnsi="Times New Roman" w:eastAsia="仿宋_GB2312" w:cs="Times New Roman"/>
          <w:b w:val="0"/>
          <w:bCs w:val="0"/>
          <w:kern w:val="0"/>
          <w:szCs w:val="32"/>
          <w:highlight w:val="none"/>
          <w:u w:val="none"/>
          <w:lang w:val="en-US" w:eastAsia="zh-CN"/>
        </w:rPr>
        <w:t>政策的补助门槛和金额进行了优化调整。</w:t>
      </w:r>
    </w:p>
    <w:p>
      <w:pPr>
        <w:pStyle w:val="2"/>
        <w:keepNext w:val="0"/>
        <w:keepLines w:val="0"/>
        <w:pageBreakBefore w:val="0"/>
        <w:widowControl w:val="0"/>
        <w:kinsoku/>
        <w:wordWrap/>
        <w:overflowPunct/>
        <w:topLinePunct w:val="0"/>
        <w:autoSpaceDE/>
        <w:autoSpaceDN/>
        <w:bidi w:val="0"/>
        <w:adjustRightInd/>
        <w:snapToGrid/>
        <w:ind w:left="0" w:leftChars="0" w:firstLine="624" w:firstLineChars="200"/>
        <w:textAlignment w:val="auto"/>
        <w:rPr>
          <w:rFonts w:hint="default" w:ascii="Times New Roman" w:hAnsi="Times New Roman" w:eastAsia="仿宋_GB2312" w:cs="Times New Roman"/>
          <w:b/>
          <w:bCs/>
          <w:u w:val="none"/>
          <w:lang w:val="en-US" w:eastAsia="zh-CN"/>
        </w:rPr>
      </w:pPr>
      <w:r>
        <w:rPr>
          <w:rStyle w:val="16"/>
          <w:rFonts w:hint="default" w:ascii="Times New Roman" w:hAnsi="Times New Roman" w:cs="Times New Roman"/>
          <w:u w:val="none"/>
          <w:shd w:val="clear" w:color="auto" w:fill="auto"/>
        </w:rPr>
        <w:t>（四）强化核心技术攻关</w:t>
      </w:r>
      <w:r>
        <w:rPr>
          <w:rStyle w:val="16"/>
          <w:rFonts w:hint="default" w:ascii="Times New Roman" w:hAnsi="Times New Roman" w:eastAsia="仿宋_GB2312" w:cs="Times New Roman"/>
          <w:b w:val="0"/>
          <w:bCs/>
          <w:u w:val="none"/>
          <w:shd w:val="clear" w:color="auto" w:fill="auto"/>
        </w:rPr>
        <w:t>。</w:t>
      </w:r>
      <w:r>
        <w:rPr>
          <w:rStyle w:val="16"/>
          <w:rFonts w:hint="default" w:ascii="Times New Roman" w:hAnsi="Times New Roman" w:eastAsia="仿宋_GB2312" w:cs="Times New Roman"/>
          <w:b w:val="0"/>
          <w:bCs/>
          <w:u w:val="none"/>
          <w:shd w:val="clear" w:color="auto" w:fill="auto"/>
          <w:lang w:val="en-US" w:eastAsia="zh-CN"/>
        </w:rPr>
        <w:t>由科技局牵头实施，共三方面</w:t>
      </w:r>
      <w:r>
        <w:rPr>
          <w:rStyle w:val="16"/>
          <w:rFonts w:hint="default" w:ascii="Times New Roman" w:hAnsi="Times New Roman" w:cs="Times New Roman"/>
          <w:b w:val="0"/>
          <w:bCs/>
          <w:u w:val="none"/>
          <w:shd w:val="clear" w:color="auto" w:fill="auto"/>
          <w:lang w:val="en-US" w:eastAsia="zh-CN"/>
        </w:rPr>
        <w:t>9</w:t>
      </w:r>
      <w:r>
        <w:rPr>
          <w:rStyle w:val="16"/>
          <w:rFonts w:hint="default" w:ascii="Times New Roman" w:hAnsi="Times New Roman" w:eastAsia="仿宋_GB2312" w:cs="Times New Roman"/>
          <w:b w:val="0"/>
          <w:bCs/>
          <w:u w:val="none"/>
          <w:shd w:val="clear" w:color="auto" w:fill="auto"/>
          <w:lang w:val="en-US" w:eastAsia="zh-CN"/>
        </w:rPr>
        <w:t>条意见，</w:t>
      </w:r>
      <w:r>
        <w:rPr>
          <w:rStyle w:val="16"/>
          <w:rFonts w:hint="default" w:ascii="Times New Roman" w:hAnsi="Times New Roman" w:eastAsia="仿宋_GB2312" w:cs="Times New Roman"/>
          <w:b/>
          <w:bCs w:val="0"/>
          <w:u w:val="none"/>
          <w:shd w:val="clear" w:color="auto" w:fill="auto"/>
          <w:lang w:val="en-US" w:eastAsia="zh-CN"/>
        </w:rPr>
        <w:t>一是</w:t>
      </w:r>
      <w:r>
        <w:rPr>
          <w:rFonts w:hint="default" w:ascii="Times New Roman" w:hAnsi="Times New Roman" w:eastAsia="仿宋_GB2312" w:cs="Times New Roman"/>
          <w:b/>
          <w:bCs/>
          <w:u w:val="none"/>
          <w:lang w:val="en-US" w:eastAsia="zh-CN"/>
        </w:rPr>
        <w:t>科技</w:t>
      </w:r>
      <w:r>
        <w:rPr>
          <w:rFonts w:hint="default" w:ascii="Times New Roman" w:hAnsi="Times New Roman" w:eastAsia="仿宋_GB2312" w:cs="Times New Roman"/>
          <w:b/>
          <w:bCs/>
          <w:u w:val="none"/>
        </w:rPr>
        <w:t>创新主体</w:t>
      </w:r>
      <w:r>
        <w:rPr>
          <w:rFonts w:hint="default" w:ascii="Times New Roman" w:hAnsi="Times New Roman" w:eastAsia="仿宋_GB2312" w:cs="Times New Roman"/>
          <w:b/>
          <w:bCs/>
          <w:u w:val="none"/>
          <w:lang w:val="en-US" w:eastAsia="zh-CN"/>
        </w:rPr>
        <w:t>培育</w:t>
      </w:r>
      <w:r>
        <w:rPr>
          <w:rFonts w:hint="default" w:ascii="Times New Roman" w:hAnsi="Times New Roman" w:cs="Times New Roman"/>
          <w:b/>
          <w:bCs/>
          <w:u w:val="none"/>
          <w:lang w:val="en-US" w:eastAsia="zh-CN"/>
        </w:rPr>
        <w:t>方面</w:t>
      </w:r>
      <w:r>
        <w:rPr>
          <w:rFonts w:hint="default" w:ascii="Times New Roman" w:hAnsi="Times New Roman" w:cs="Times New Roman"/>
          <w:b w:val="0"/>
          <w:bCs w:val="0"/>
          <w:u w:val="none"/>
          <w:lang w:val="en-US" w:eastAsia="zh-CN"/>
        </w:rPr>
        <w:t>：支持企业申报高新技术企业，对市级认定的高新技术培育企业，在培育有效期内给予首次享受研发费加计扣除的，最高给予2万元奖励，建立慈溪市级研发机构的，给予1万元奖励，年报研发费首次破零的给予最高1万元的奖励，不与其他年度培育奖励同享。对当年认定的浙江省科技型中小企业给予每家1万元奖励</w:t>
      </w:r>
      <w:r>
        <w:rPr>
          <w:rFonts w:hint="default" w:ascii="Times New Roman" w:hAnsi="Times New Roman" w:eastAsia="仿宋_GB2312" w:cs="Times New Roman"/>
          <w:b w:val="0"/>
          <w:bCs w:val="0"/>
          <w:u w:val="none"/>
          <w:lang w:val="en-US" w:eastAsia="zh-CN"/>
        </w:rPr>
        <w:t>。</w:t>
      </w:r>
      <w:r>
        <w:rPr>
          <w:rFonts w:hint="default" w:ascii="Times New Roman" w:hAnsi="Times New Roman" w:cs="Times New Roman"/>
          <w:highlight w:val="none"/>
          <w:u w:val="none"/>
        </w:rPr>
        <w:t>支持企业用好高能级城市智力资源，对支付科研人员薪酬产生的企业研发经费给予分级补助</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rPr>
        <w:t>对组织发动企业加大研发投入、申报国家、省、宁波重大科技创新项目、科技奖励的镇街道（产业平台），按适格企业家数给予一定经费支持。对有效申报国家、省科技奖励的企业，按一定比例给予补助，对有效申报国家、省科学技术奖的第一完成单位每家给予最高10万元、5万元的补助。对入围各级中国创新创业大赛决赛的单位，按等级给予每家最高5万元奖励</w:t>
      </w:r>
      <w:r>
        <w:rPr>
          <w:rFonts w:hint="default" w:ascii="Times New Roman" w:hAnsi="Times New Roman" w:cs="Times New Roman"/>
          <w:highlight w:val="none"/>
          <w:u w:val="none"/>
          <w:lang w:eastAsia="zh-CN"/>
        </w:rPr>
        <w:t>。</w:t>
      </w:r>
      <w:r>
        <w:rPr>
          <w:rFonts w:hint="default" w:ascii="Times New Roman" w:hAnsi="Times New Roman" w:cs="Times New Roman"/>
          <w:b/>
          <w:bCs/>
          <w:highlight w:val="none"/>
          <w:u w:val="none"/>
          <w:lang w:val="en-US" w:eastAsia="zh-CN"/>
        </w:rPr>
        <w:t>二是核心技术研发攻关方面</w:t>
      </w:r>
      <w:r>
        <w:rPr>
          <w:rFonts w:hint="default" w:ascii="Times New Roman" w:hAnsi="Times New Roman" w:cs="Times New Roman"/>
          <w:highlight w:val="none"/>
          <w:u w:val="none"/>
          <w:lang w:val="en-US" w:eastAsia="zh-CN"/>
        </w:rPr>
        <w:t>：对共性技术攻关项目给予最高不超过100万元补助，对</w:t>
      </w:r>
      <w:r>
        <w:rPr>
          <w:rFonts w:hint="default" w:ascii="Times New Roman" w:hAnsi="Times New Roman" w:cs="Times New Roman"/>
          <w:highlight w:val="none"/>
          <w:u w:val="none"/>
        </w:rPr>
        <w:t>公益类科技项目给予最高10万元奖励</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对</w:t>
      </w:r>
      <w:r>
        <w:rPr>
          <w:rFonts w:hint="default" w:ascii="Times New Roman" w:hAnsi="Times New Roman" w:cs="Times New Roman"/>
          <w:highlight w:val="none"/>
          <w:u w:val="none"/>
        </w:rPr>
        <w:t>软科学研究项目给予最高20万元奖励</w:t>
      </w:r>
      <w:r>
        <w:rPr>
          <w:rFonts w:hint="default" w:ascii="Times New Roman" w:hAnsi="Times New Roman" w:cs="Times New Roman"/>
          <w:highlight w:val="none"/>
          <w:u w:val="none"/>
          <w:lang w:eastAsia="zh-CN"/>
        </w:rPr>
        <w:t>。对首次通过CNAS认可或CMA认可的检验检测实验室给予每家6万元的奖励，对符合条件的“共享实验室”联盟成员，给予每家不超过2万元的补助；对为国家、省试点课题项目提供专业服务的检测认证机构，给予每家不超过5万元、3万元的补助。</w:t>
      </w:r>
      <w:r>
        <w:rPr>
          <w:rFonts w:hint="default" w:ascii="Times New Roman" w:hAnsi="Times New Roman" w:cs="Times New Roman"/>
          <w:b/>
          <w:bCs/>
          <w:highlight w:val="none"/>
          <w:u w:val="none"/>
          <w:lang w:val="en-US" w:eastAsia="zh-CN"/>
        </w:rPr>
        <w:t>三是创新生态体系建设方面</w:t>
      </w:r>
      <w:r>
        <w:rPr>
          <w:rFonts w:hint="default" w:ascii="Times New Roman" w:hAnsi="Times New Roman" w:cs="Times New Roman"/>
          <w:highlight w:val="none"/>
          <w:u w:val="none"/>
          <w:lang w:val="en-US" w:eastAsia="zh-CN"/>
        </w:rPr>
        <w:t>：从</w:t>
      </w:r>
      <w:r>
        <w:rPr>
          <w:rFonts w:hint="default" w:ascii="Times New Roman" w:hAnsi="Times New Roman" w:cs="Times New Roman"/>
          <w:highlight w:val="none"/>
          <w:u w:val="none"/>
        </w:rPr>
        <w:t>科创飞地</w:t>
      </w:r>
      <w:r>
        <w:rPr>
          <w:rFonts w:hint="default" w:ascii="Times New Roman" w:hAnsi="Times New Roman" w:cs="Times New Roman"/>
          <w:highlight w:val="none"/>
          <w:u w:val="none"/>
          <w:lang w:val="en-US" w:eastAsia="zh-CN"/>
        </w:rPr>
        <w:t>建设、</w:t>
      </w:r>
      <w:r>
        <w:rPr>
          <w:rFonts w:hint="default" w:ascii="Times New Roman" w:hAnsi="Times New Roman" w:cs="Times New Roman"/>
          <w:highlight w:val="none"/>
          <w:u w:val="none"/>
        </w:rPr>
        <w:t>“双创”平台</w:t>
      </w:r>
      <w:r>
        <w:rPr>
          <w:rFonts w:hint="default" w:ascii="Times New Roman" w:hAnsi="Times New Roman" w:cs="Times New Roman"/>
          <w:highlight w:val="none"/>
          <w:u w:val="none"/>
          <w:lang w:val="en-US" w:eastAsia="zh-CN"/>
        </w:rPr>
        <w:t>培育、</w:t>
      </w:r>
      <w:r>
        <w:rPr>
          <w:rFonts w:hint="default" w:ascii="Times New Roman" w:hAnsi="Times New Roman" w:cs="Times New Roman"/>
          <w:highlight w:val="none"/>
          <w:u w:val="none"/>
        </w:rPr>
        <w:t>专业技术服务</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rPr>
        <w:t>科技服务业扶持</w:t>
      </w:r>
      <w:r>
        <w:rPr>
          <w:rFonts w:hint="default" w:ascii="Times New Roman" w:hAnsi="Times New Roman" w:cs="Times New Roman"/>
          <w:highlight w:val="none"/>
          <w:u w:val="none"/>
          <w:lang w:val="en-US" w:eastAsia="zh-CN"/>
        </w:rPr>
        <w:t>四个层面制定了系列奖补政策。</w:t>
      </w:r>
    </w:p>
    <w:p>
      <w:pPr>
        <w:ind w:firstLine="625"/>
        <w:rPr>
          <w:rStyle w:val="16"/>
          <w:rFonts w:hint="default" w:ascii="Times New Roman" w:hAnsi="Times New Roman" w:eastAsia="仿宋_GB2312" w:cs="Times New Roman"/>
          <w:b w:val="0"/>
          <w:bCs/>
          <w:color w:val="auto"/>
          <w:u w:val="none"/>
          <w:shd w:val="clear" w:color="auto" w:fill="auto"/>
          <w:lang w:val="en-US" w:eastAsia="zh-CN"/>
        </w:rPr>
      </w:pPr>
      <w:r>
        <w:rPr>
          <w:rStyle w:val="16"/>
          <w:rFonts w:hint="default" w:ascii="Times New Roman" w:hAnsi="Times New Roman" w:cs="Times New Roman"/>
          <w:u w:val="none"/>
          <w:shd w:val="clear" w:color="auto" w:fill="auto"/>
        </w:rPr>
        <w:t>（五）强化内外开放合作</w:t>
      </w:r>
      <w:r>
        <w:rPr>
          <w:rFonts w:hint="default" w:ascii="Times New Roman" w:hAnsi="Times New Roman" w:eastAsia="仿宋_GB2312" w:cs="Times New Roman"/>
          <w:u w:val="none"/>
          <w:shd w:val="clear" w:color="auto" w:fill="auto"/>
        </w:rPr>
        <w:t>。</w:t>
      </w:r>
      <w:r>
        <w:rPr>
          <w:rFonts w:hint="default" w:ascii="Times New Roman" w:hAnsi="Times New Roman" w:eastAsia="仿宋_GB2312" w:cs="Times New Roman"/>
          <w:color w:val="auto"/>
          <w:u w:val="none"/>
          <w:shd w:val="clear" w:color="auto" w:fill="auto"/>
        </w:rPr>
        <w:t>由</w:t>
      </w:r>
      <w:r>
        <w:rPr>
          <w:rFonts w:hint="default" w:ascii="Times New Roman" w:hAnsi="Times New Roman" w:eastAsia="仿宋_GB2312" w:cs="Times New Roman"/>
          <w:color w:val="auto"/>
          <w:u w:val="none"/>
          <w:shd w:val="clear" w:color="auto" w:fill="auto"/>
          <w:lang w:val="en-US" w:eastAsia="zh-CN"/>
        </w:rPr>
        <w:t>商务</w:t>
      </w:r>
      <w:r>
        <w:rPr>
          <w:rFonts w:hint="default" w:ascii="Times New Roman" w:hAnsi="Times New Roman" w:eastAsia="仿宋_GB2312" w:cs="Times New Roman"/>
          <w:color w:val="auto"/>
          <w:u w:val="none"/>
          <w:shd w:val="clear" w:color="auto" w:fill="auto"/>
        </w:rPr>
        <w:t>局</w:t>
      </w:r>
      <w:r>
        <w:rPr>
          <w:rFonts w:hint="default" w:ascii="Times New Roman" w:hAnsi="Times New Roman" w:eastAsia="仿宋_GB2312" w:cs="Times New Roman"/>
          <w:color w:val="auto"/>
          <w:u w:val="none"/>
          <w:shd w:val="clear" w:color="auto" w:fill="auto"/>
          <w:lang w:val="en-US" w:eastAsia="zh-CN"/>
        </w:rPr>
        <w:t>和投促中心</w:t>
      </w:r>
      <w:r>
        <w:rPr>
          <w:rFonts w:hint="default" w:ascii="Times New Roman" w:hAnsi="Times New Roman" w:eastAsia="仿宋_GB2312" w:cs="Times New Roman"/>
          <w:color w:val="auto"/>
          <w:u w:val="none"/>
          <w:shd w:val="clear" w:color="auto" w:fill="auto"/>
        </w:rPr>
        <w:t>牵头实施</w:t>
      </w:r>
      <w:r>
        <w:rPr>
          <w:rFonts w:hint="default" w:ascii="Times New Roman" w:hAnsi="Times New Roman" w:eastAsia="仿宋_GB2312" w:cs="Times New Roman"/>
          <w:color w:val="auto"/>
          <w:u w:val="none"/>
          <w:shd w:val="clear" w:color="auto" w:fill="auto"/>
          <w:lang w:eastAsia="zh-CN"/>
        </w:rPr>
        <w:t>，</w:t>
      </w:r>
      <w:r>
        <w:rPr>
          <w:rStyle w:val="16"/>
          <w:rFonts w:hint="default" w:ascii="Times New Roman" w:hAnsi="Times New Roman" w:eastAsia="仿宋_GB2312" w:cs="Times New Roman"/>
          <w:b w:val="0"/>
          <w:bCs/>
          <w:color w:val="auto"/>
          <w:u w:val="none"/>
          <w:shd w:val="clear" w:color="auto" w:fill="auto"/>
          <w:lang w:val="en-US" w:eastAsia="zh-CN"/>
        </w:rPr>
        <w:t>共五方面</w:t>
      </w:r>
      <w:r>
        <w:rPr>
          <w:rStyle w:val="16"/>
          <w:rFonts w:hint="default" w:ascii="Times New Roman" w:hAnsi="Times New Roman" w:cs="Times New Roman"/>
          <w:b w:val="0"/>
          <w:bCs/>
          <w:color w:val="auto"/>
          <w:u w:val="none"/>
          <w:shd w:val="clear" w:color="auto" w:fill="auto"/>
          <w:lang w:val="en-US" w:eastAsia="zh-CN"/>
        </w:rPr>
        <w:t>13</w:t>
      </w:r>
      <w:r>
        <w:rPr>
          <w:rStyle w:val="16"/>
          <w:rFonts w:hint="default" w:ascii="Times New Roman" w:hAnsi="Times New Roman" w:eastAsia="仿宋_GB2312" w:cs="Times New Roman"/>
          <w:b w:val="0"/>
          <w:bCs/>
          <w:color w:val="auto"/>
          <w:u w:val="none"/>
          <w:shd w:val="clear" w:color="auto" w:fill="auto"/>
          <w:lang w:val="en-US" w:eastAsia="zh-CN"/>
        </w:rPr>
        <w:t>条意见，</w:t>
      </w:r>
      <w:r>
        <w:rPr>
          <w:rStyle w:val="16"/>
          <w:rFonts w:hint="default" w:ascii="Times New Roman" w:hAnsi="Times New Roman" w:eastAsia="仿宋_GB2312" w:cs="Times New Roman"/>
          <w:b/>
          <w:bCs w:val="0"/>
          <w:color w:val="auto"/>
          <w:highlight w:val="none"/>
          <w:u w:val="none"/>
          <w:shd w:val="clear" w:color="auto" w:fill="auto"/>
          <w:lang w:val="en-US" w:eastAsia="zh-CN"/>
        </w:rPr>
        <w:t>一是优化了招商政策。</w:t>
      </w:r>
      <w:r>
        <w:rPr>
          <w:rStyle w:val="16"/>
          <w:rFonts w:hint="default" w:ascii="Times New Roman" w:hAnsi="Times New Roman" w:eastAsia="仿宋_GB2312" w:cs="Times New Roman"/>
          <w:b/>
          <w:bCs w:val="0"/>
          <w:color w:val="auto"/>
          <w:u w:val="none"/>
          <w:shd w:val="clear" w:color="auto" w:fill="auto"/>
          <w:lang w:val="en-US" w:eastAsia="zh-CN"/>
        </w:rPr>
        <w:t>二是消费政策方面</w:t>
      </w:r>
      <w:r>
        <w:rPr>
          <w:rStyle w:val="16"/>
          <w:rFonts w:hint="default" w:ascii="Times New Roman" w:hAnsi="Times New Roman" w:eastAsia="仿宋_GB2312" w:cs="Times New Roman"/>
          <w:b w:val="0"/>
          <w:bCs/>
          <w:color w:val="auto"/>
          <w:u w:val="none"/>
          <w:shd w:val="clear" w:color="auto" w:fill="auto"/>
          <w:lang w:val="en-US" w:eastAsia="zh-CN"/>
        </w:rPr>
        <w:t>：删除了商圈服务提升政策，对</w:t>
      </w:r>
      <w:r>
        <w:rPr>
          <w:rFonts w:hint="default" w:ascii="Times New Roman" w:hAnsi="Times New Roman" w:eastAsia="仿宋_GB2312" w:cs="Times New Roman"/>
          <w:color w:val="000000"/>
          <w:szCs w:val="32"/>
          <w:highlight w:val="none"/>
          <w:u w:val="none"/>
          <w:lang w:val="en-US" w:eastAsia="zh-CN" w:bidi="ar"/>
        </w:rPr>
        <w:t>社区商圈建设、商业特色街区、品牌创建等政策予以保留，新增了支持市级产业营销服务平台及产销对接服务类型企业等承接“外贸优品进机关”等促消费活动，对承接宁波市级及以上机关单位展销活动</w:t>
      </w:r>
      <w:r>
        <w:rPr>
          <w:rFonts w:hint="eastAsia" w:cs="Times New Roman"/>
          <w:color w:val="000000"/>
          <w:szCs w:val="32"/>
          <w:highlight w:val="none"/>
          <w:u w:val="none"/>
          <w:lang w:val="en-US" w:eastAsia="zh-CN" w:bidi="ar"/>
        </w:rPr>
        <w:t>的</w:t>
      </w:r>
      <w:r>
        <w:rPr>
          <w:rFonts w:hint="default" w:ascii="Times New Roman" w:hAnsi="Times New Roman" w:eastAsia="仿宋_GB2312" w:cs="Times New Roman"/>
          <w:color w:val="000000"/>
          <w:szCs w:val="32"/>
          <w:highlight w:val="none"/>
          <w:u w:val="none"/>
          <w:lang w:val="en-US" w:eastAsia="zh-CN" w:bidi="ar"/>
        </w:rPr>
        <w:t>，给予平台运营方或产销对接服务企业在广告设计布展、物流费、差旅费等方面支出一定补助</w:t>
      </w:r>
      <w:r>
        <w:rPr>
          <w:rStyle w:val="16"/>
          <w:rFonts w:hint="default" w:ascii="Times New Roman" w:hAnsi="Times New Roman" w:eastAsia="仿宋_GB2312" w:cs="Times New Roman"/>
          <w:b w:val="0"/>
          <w:bCs/>
          <w:color w:val="auto"/>
          <w:u w:val="none"/>
          <w:shd w:val="clear" w:color="auto" w:fill="auto"/>
          <w:lang w:val="en-US" w:eastAsia="zh-CN"/>
        </w:rPr>
        <w:t>。</w:t>
      </w:r>
      <w:r>
        <w:rPr>
          <w:rStyle w:val="16"/>
          <w:rFonts w:hint="default" w:ascii="Times New Roman" w:hAnsi="Times New Roman" w:eastAsia="仿宋_GB2312" w:cs="Times New Roman"/>
          <w:b/>
          <w:bCs w:val="0"/>
          <w:color w:val="auto"/>
          <w:u w:val="none"/>
          <w:shd w:val="clear" w:color="auto" w:fill="auto"/>
          <w:lang w:val="en-US" w:eastAsia="zh-CN"/>
        </w:rPr>
        <w:t>三是电子商务政策方面</w:t>
      </w:r>
      <w:r>
        <w:rPr>
          <w:rStyle w:val="16"/>
          <w:rFonts w:hint="default" w:ascii="Times New Roman" w:hAnsi="Times New Roman" w:eastAsia="仿宋_GB2312" w:cs="Times New Roman"/>
          <w:b w:val="0"/>
          <w:bCs/>
          <w:color w:val="auto"/>
          <w:u w:val="none"/>
          <w:shd w:val="clear" w:color="auto" w:fill="auto"/>
          <w:lang w:val="en-US" w:eastAsia="zh-CN"/>
        </w:rPr>
        <w:t>：精简了电子商务产业发展和电商集聚区专业化发展政策，优化了</w:t>
      </w:r>
      <w:r>
        <w:rPr>
          <w:rFonts w:hint="default" w:ascii="Times New Roman" w:hAnsi="Times New Roman" w:eastAsia="仿宋_GB2312" w:cs="Times New Roman"/>
          <w:color w:val="000000"/>
          <w:szCs w:val="32"/>
          <w:highlight w:val="none"/>
          <w:u w:val="none"/>
          <w:lang w:val="en-US" w:eastAsia="zh-CN" w:bidi="ar"/>
        </w:rPr>
        <w:t>电子商务公共服务平台建设政策</w:t>
      </w:r>
      <w:r>
        <w:rPr>
          <w:rStyle w:val="16"/>
          <w:rFonts w:hint="default" w:ascii="Times New Roman" w:hAnsi="Times New Roman" w:eastAsia="仿宋_GB2312" w:cs="Times New Roman"/>
          <w:b w:val="0"/>
          <w:bCs/>
          <w:color w:val="auto"/>
          <w:u w:val="none"/>
          <w:shd w:val="clear" w:color="auto" w:fill="auto"/>
          <w:lang w:val="en-US" w:eastAsia="zh-CN"/>
        </w:rPr>
        <w:t>。</w:t>
      </w:r>
      <w:r>
        <w:rPr>
          <w:rStyle w:val="16"/>
          <w:rFonts w:hint="default" w:ascii="Times New Roman" w:hAnsi="Times New Roman" w:eastAsia="仿宋_GB2312" w:cs="Times New Roman"/>
          <w:b/>
          <w:bCs w:val="0"/>
          <w:color w:val="auto"/>
          <w:u w:val="none"/>
          <w:shd w:val="clear" w:color="auto" w:fill="auto"/>
          <w:lang w:val="en-US" w:eastAsia="zh-CN"/>
        </w:rPr>
        <w:t>四是商贸业发展政策方面</w:t>
      </w:r>
      <w:r>
        <w:rPr>
          <w:rStyle w:val="16"/>
          <w:rFonts w:hint="default" w:ascii="Times New Roman" w:hAnsi="Times New Roman" w:eastAsia="仿宋_GB2312" w:cs="Times New Roman"/>
          <w:b w:val="0"/>
          <w:bCs/>
          <w:color w:val="auto"/>
          <w:u w:val="none"/>
          <w:shd w:val="clear" w:color="auto" w:fill="auto"/>
          <w:lang w:val="en-US" w:eastAsia="zh-CN"/>
        </w:rPr>
        <w:t>：</w:t>
      </w:r>
      <w:r>
        <w:rPr>
          <w:rStyle w:val="16"/>
          <w:rFonts w:hint="default" w:ascii="Times New Roman" w:hAnsi="Times New Roman" w:eastAsia="仿宋_GB2312" w:cs="Times New Roman"/>
          <w:b/>
          <w:bCs w:val="0"/>
          <w:color w:val="auto"/>
          <w:u w:val="none"/>
          <w:shd w:val="clear" w:color="auto" w:fill="auto"/>
          <w:lang w:val="en-US" w:eastAsia="zh-CN"/>
        </w:rPr>
        <w:t>3条意见均作保留</w:t>
      </w:r>
      <w:r>
        <w:rPr>
          <w:rStyle w:val="16"/>
          <w:rFonts w:hint="default" w:ascii="Times New Roman" w:hAnsi="Times New Roman" w:eastAsia="仿宋_GB2312" w:cs="Times New Roman"/>
          <w:b w:val="0"/>
          <w:bCs/>
          <w:color w:val="auto"/>
          <w:u w:val="none"/>
          <w:shd w:val="clear" w:color="auto" w:fill="auto"/>
          <w:lang w:val="en-US" w:eastAsia="zh-CN"/>
        </w:rPr>
        <w:t>。</w:t>
      </w:r>
      <w:r>
        <w:rPr>
          <w:rStyle w:val="16"/>
          <w:rFonts w:hint="default" w:ascii="Times New Roman" w:hAnsi="Times New Roman" w:eastAsia="仿宋_GB2312" w:cs="Times New Roman"/>
          <w:b/>
          <w:bCs w:val="0"/>
          <w:color w:val="auto"/>
          <w:u w:val="none"/>
          <w:shd w:val="clear" w:color="auto" w:fill="auto"/>
          <w:lang w:val="en-US" w:eastAsia="zh-CN"/>
        </w:rPr>
        <w:t>五是保留</w:t>
      </w:r>
      <w:bookmarkStart w:id="0" w:name="_GoBack"/>
      <w:bookmarkEnd w:id="0"/>
      <w:r>
        <w:rPr>
          <w:rStyle w:val="16"/>
          <w:rFonts w:hint="default" w:ascii="Times New Roman" w:hAnsi="Times New Roman" w:eastAsia="仿宋_GB2312" w:cs="Times New Roman"/>
          <w:b/>
          <w:bCs w:val="0"/>
          <w:color w:val="auto"/>
          <w:u w:val="none"/>
          <w:shd w:val="clear" w:color="auto" w:fill="auto"/>
          <w:lang w:val="en-US" w:eastAsia="zh-CN"/>
        </w:rPr>
        <w:t>了</w:t>
      </w:r>
      <w:r>
        <w:rPr>
          <w:rFonts w:hint="default" w:ascii="Times New Roman" w:hAnsi="Times New Roman" w:eastAsia="仿宋_GB2312" w:cs="Times New Roman"/>
          <w:b/>
          <w:bCs w:val="0"/>
          <w:color w:val="auto"/>
          <w:szCs w:val="32"/>
          <w:u w:val="none"/>
          <w:lang w:val="en-US" w:eastAsia="zh-CN" w:bidi="ar"/>
        </w:rPr>
        <w:t>民生</w:t>
      </w:r>
      <w:r>
        <w:rPr>
          <w:rFonts w:hint="default" w:ascii="Times New Roman" w:hAnsi="Times New Roman" w:eastAsia="仿宋_GB2312" w:cs="Times New Roman"/>
          <w:b/>
          <w:bCs/>
          <w:color w:val="auto"/>
          <w:szCs w:val="32"/>
          <w:u w:val="none"/>
          <w:lang w:val="en-US" w:eastAsia="zh-CN" w:bidi="ar"/>
        </w:rPr>
        <w:t>保障体系建设政策。</w:t>
      </w:r>
    </w:p>
    <w:p>
      <w:pPr>
        <w:ind w:firstLine="625"/>
        <w:rPr>
          <w:rStyle w:val="16"/>
          <w:rFonts w:hint="default" w:ascii="Times New Roman" w:hAnsi="Times New Roman" w:eastAsia="仿宋_GB2312" w:cs="Times New Roman"/>
          <w:b w:val="0"/>
          <w:bCs/>
          <w:u w:val="none"/>
          <w:shd w:val="clear" w:color="auto" w:fill="auto"/>
          <w:lang w:val="en-US" w:eastAsia="zh-CN"/>
        </w:rPr>
      </w:pPr>
      <w:r>
        <w:rPr>
          <w:rStyle w:val="16"/>
          <w:rFonts w:hint="default" w:ascii="Times New Roman" w:hAnsi="Times New Roman" w:cs="Times New Roman"/>
          <w:u w:val="none"/>
          <w:shd w:val="clear" w:color="auto" w:fill="auto"/>
        </w:rPr>
        <w:t>（</w:t>
      </w:r>
      <w:r>
        <w:rPr>
          <w:rStyle w:val="16"/>
          <w:rFonts w:hint="default" w:ascii="Times New Roman" w:hAnsi="Times New Roman" w:eastAsia="楷体_GB2312" w:cs="Times New Roman"/>
          <w:u w:val="none"/>
          <w:shd w:val="clear" w:color="auto" w:fill="auto"/>
          <w:lang w:val="en-US" w:eastAsia="zh-CN"/>
        </w:rPr>
        <w:t>六</w:t>
      </w:r>
      <w:r>
        <w:rPr>
          <w:rStyle w:val="16"/>
          <w:rFonts w:hint="default" w:ascii="Times New Roman" w:hAnsi="Times New Roman" w:cs="Times New Roman"/>
          <w:u w:val="none"/>
          <w:shd w:val="clear" w:color="auto" w:fill="auto"/>
        </w:rPr>
        <w:t>）强化品牌质量提升</w:t>
      </w:r>
      <w:r>
        <w:rPr>
          <w:rFonts w:hint="default" w:ascii="Times New Roman" w:hAnsi="Times New Roman" w:cs="Times New Roman"/>
          <w:u w:val="none"/>
          <w:shd w:val="clear" w:color="auto" w:fill="auto"/>
        </w:rPr>
        <w:t>。由市场监管局牵头实施，共四方面4条意见，</w:t>
      </w:r>
      <w:r>
        <w:rPr>
          <w:rFonts w:hint="default" w:ascii="Times New Roman" w:hAnsi="Times New Roman" w:cs="Times New Roman"/>
          <w:b/>
          <w:bCs/>
          <w:u w:val="none"/>
          <w:shd w:val="clear" w:color="auto" w:fill="auto"/>
        </w:rPr>
        <w:t>一是支持知识产权发展、运促和转化方面</w:t>
      </w:r>
      <w:r>
        <w:rPr>
          <w:rFonts w:hint="default" w:ascii="Times New Roman" w:hAnsi="Times New Roman" w:cs="Times New Roman"/>
          <w:u w:val="none"/>
          <w:shd w:val="clear" w:color="auto" w:fill="auto"/>
        </w:rPr>
        <w:t>：</w:t>
      </w:r>
      <w:r>
        <w:rPr>
          <w:rFonts w:hint="default" w:ascii="Times New Roman" w:hAnsi="Times New Roman" w:cs="Times New Roman"/>
          <w:u w:val="none"/>
          <w:shd w:val="clear" w:color="auto" w:fill="auto"/>
          <w:lang w:val="en-US" w:eastAsia="zh-CN"/>
        </w:rPr>
        <w:t>删除有效发明专利上升奖励及专利成果转化奖励，新增对当年经国家专利密集型产品备案认定的产品，给予每件不超过0.5万元奖励，同一单位不超过5万元；培育扶持专利代理机构发展壮大，对专利代理机构开展专利申请快速预审服务，当年代理创新主体专利申请快速预审合格的专利达到10件、20件、30件的，分别给予不超过2万元、5万元、8万元的奖励；挖掘数据要素潜力，对专利代理机构当年指导企业的数据知识产权登记数达到50件的，给予不超过5万元的奖励</w:t>
      </w:r>
      <w:r>
        <w:rPr>
          <w:rFonts w:hint="default" w:ascii="Times New Roman" w:hAnsi="Times New Roman" w:cs="Times New Roman"/>
          <w:u w:val="none"/>
          <w:shd w:val="clear" w:color="auto" w:fill="auto"/>
          <w:lang w:eastAsia="zh-CN"/>
        </w:rPr>
        <w:t>。</w:t>
      </w:r>
      <w:r>
        <w:rPr>
          <w:rFonts w:hint="default" w:ascii="Times New Roman" w:hAnsi="Times New Roman" w:cs="Times New Roman"/>
          <w:b/>
          <w:bCs/>
          <w:u w:val="none"/>
          <w:shd w:val="clear" w:color="auto" w:fill="auto"/>
        </w:rPr>
        <w:t>二是鼓励知识产权质押融资和商标发展方面</w:t>
      </w:r>
      <w:r>
        <w:rPr>
          <w:rFonts w:hint="default" w:ascii="Times New Roman" w:hAnsi="Times New Roman" w:cs="Times New Roman"/>
          <w:u w:val="none"/>
          <w:shd w:val="clear" w:color="auto" w:fill="auto"/>
        </w:rPr>
        <w:t>：</w:t>
      </w:r>
      <w:r>
        <w:rPr>
          <w:rFonts w:hint="default" w:ascii="Times New Roman" w:hAnsi="Times New Roman" w:cs="Times New Roman"/>
          <w:u w:val="none"/>
          <w:shd w:val="clear" w:color="auto" w:fill="auto"/>
          <w:lang w:val="en-US" w:eastAsia="zh-CN"/>
        </w:rPr>
        <w:t>删除宁波市知识产权（专利）示范企业奖励。新增</w:t>
      </w:r>
      <w:r>
        <w:rPr>
          <w:rFonts w:hint="default" w:ascii="Times New Roman" w:hAnsi="Times New Roman" w:eastAsia="仿宋_GB2312" w:cs="Times New Roman"/>
          <w:color w:val="000000"/>
          <w:szCs w:val="32"/>
          <w:highlight w:val="none"/>
          <w:u w:val="none"/>
          <w:lang w:val="en-US" w:eastAsia="zh-CN" w:bidi="ar"/>
        </w:rPr>
        <w:t>对“地理标志”证明商标权利人拥有红标使用企业超过20家的，给予权利人每件“地理标志”证明商标一次性不超过5万元奖励。对新建品牌指导站的组织给予不超过2万元奖励，品牌指导站运作良好，连续两年以上获评市星级品牌指导服务站的给予不超过3万元奖励</w:t>
      </w:r>
      <w:r>
        <w:rPr>
          <w:rFonts w:hint="default" w:ascii="Times New Roman" w:hAnsi="Times New Roman" w:cs="Times New Roman"/>
          <w:u w:val="none"/>
          <w:shd w:val="clear" w:color="auto" w:fill="auto"/>
        </w:rPr>
        <w:t>。</w:t>
      </w:r>
      <w:r>
        <w:rPr>
          <w:rFonts w:hint="default" w:ascii="Times New Roman" w:hAnsi="Times New Roman" w:cs="Times New Roman"/>
          <w:b/>
          <w:bCs/>
          <w:u w:val="none"/>
          <w:shd w:val="clear" w:color="auto" w:fill="auto"/>
        </w:rPr>
        <w:t>三是鼓励高品质发展方面</w:t>
      </w:r>
      <w:r>
        <w:rPr>
          <w:rFonts w:hint="default" w:ascii="Times New Roman" w:hAnsi="Times New Roman" w:cs="Times New Roman"/>
          <w:u w:val="none"/>
          <w:shd w:val="clear" w:color="auto" w:fill="auto"/>
        </w:rPr>
        <w:t>：</w:t>
      </w:r>
      <w:r>
        <w:rPr>
          <w:rFonts w:hint="default" w:ascii="Times New Roman" w:hAnsi="Times New Roman" w:cs="Times New Roman"/>
          <w:u w:val="none"/>
          <w:shd w:val="clear" w:color="auto" w:fill="auto"/>
          <w:lang w:val="en-US" w:eastAsia="zh-CN"/>
        </w:rPr>
        <w:t>删除宁波市商业秘密保护贯标企业奖励，新增承担“质量基础一站式服务平台”建设单位 ，第一年给予不超过5万元的奖励，持续服务企业，第二年给予不超过3万元的奖励，第三年给予不超过2万元的奖励；对参与“同线同标同质”工作并通过浙江“三同”在线平台审核的企业，每个产品给予不超过0.5万元奖励，每家企业的奖励最高不超过2万元</w:t>
      </w:r>
      <w:r>
        <w:rPr>
          <w:rFonts w:hint="default" w:ascii="Times New Roman" w:hAnsi="Times New Roman" w:cs="Times New Roman"/>
          <w:u w:val="none"/>
          <w:shd w:val="clear" w:color="auto" w:fill="auto"/>
        </w:rPr>
        <w:t>。</w:t>
      </w:r>
      <w:r>
        <w:rPr>
          <w:rFonts w:hint="default" w:ascii="Times New Roman" w:hAnsi="Times New Roman" w:cs="Times New Roman"/>
          <w:b/>
          <w:bCs/>
          <w:u w:val="none"/>
          <w:shd w:val="clear" w:color="auto" w:fill="auto"/>
        </w:rPr>
        <w:t>四是支持高标准发展方面</w:t>
      </w:r>
      <w:r>
        <w:rPr>
          <w:rFonts w:hint="default" w:ascii="Times New Roman" w:hAnsi="Times New Roman" w:cs="Times New Roman"/>
          <w:u w:val="none"/>
          <w:shd w:val="clear" w:color="auto" w:fill="auto"/>
        </w:rPr>
        <w:t>：</w:t>
      </w:r>
      <w:r>
        <w:rPr>
          <w:rFonts w:hint="default" w:ascii="Times New Roman" w:hAnsi="Times New Roman" w:cs="Times New Roman"/>
          <w:u w:val="none"/>
          <w:shd w:val="clear" w:color="auto" w:fill="auto"/>
          <w:lang w:val="en-US" w:eastAsia="zh-CN"/>
        </w:rPr>
        <w:t>基本保持不变，对部分政策奖补力度进行了上调</w:t>
      </w:r>
      <w:r>
        <w:rPr>
          <w:rFonts w:hint="default" w:ascii="Times New Roman" w:hAnsi="Times New Roman" w:cs="Times New Roman"/>
          <w:u w:val="none"/>
          <w:shd w:val="clear" w:color="auto" w:fill="auto"/>
        </w:rPr>
        <w:t>。</w:t>
      </w:r>
    </w:p>
    <w:p>
      <w:pPr>
        <w:ind w:firstLine="625"/>
        <w:rPr>
          <w:rStyle w:val="16"/>
          <w:rFonts w:hint="default" w:ascii="Times New Roman" w:hAnsi="Times New Roman" w:eastAsia="仿宋_GB2312" w:cs="Times New Roman"/>
          <w:b w:val="0"/>
          <w:bCs/>
          <w:u w:val="none"/>
          <w:shd w:val="clear" w:color="auto" w:fill="auto"/>
          <w:lang w:val="en-US" w:eastAsia="zh-CN"/>
        </w:rPr>
      </w:pPr>
      <w:r>
        <w:rPr>
          <w:rStyle w:val="16"/>
          <w:rFonts w:hint="default" w:ascii="Times New Roman" w:hAnsi="Times New Roman" w:eastAsia="仿宋_GB2312" w:cs="Times New Roman"/>
          <w:u w:val="none"/>
          <w:shd w:val="clear" w:color="auto" w:fill="auto"/>
        </w:rPr>
        <w:t>（</w:t>
      </w:r>
      <w:r>
        <w:rPr>
          <w:rStyle w:val="16"/>
          <w:rFonts w:hint="default" w:ascii="Times New Roman" w:hAnsi="Times New Roman" w:eastAsia="仿宋_GB2312" w:cs="Times New Roman"/>
          <w:u w:val="none"/>
          <w:shd w:val="clear" w:color="auto" w:fill="auto"/>
          <w:lang w:val="en-US" w:eastAsia="zh-CN"/>
        </w:rPr>
        <w:t>七</w:t>
      </w:r>
      <w:r>
        <w:rPr>
          <w:rStyle w:val="16"/>
          <w:rFonts w:hint="default" w:ascii="Times New Roman" w:hAnsi="Times New Roman" w:eastAsia="仿宋_GB2312" w:cs="Times New Roman"/>
          <w:u w:val="none"/>
          <w:shd w:val="clear" w:color="auto" w:fill="auto"/>
        </w:rPr>
        <w:t>）强化金融服务保障</w:t>
      </w:r>
      <w:r>
        <w:rPr>
          <w:rFonts w:hint="default" w:ascii="Times New Roman" w:hAnsi="Times New Roman" w:eastAsia="仿宋_GB2312" w:cs="Times New Roman"/>
          <w:u w:val="none"/>
          <w:shd w:val="clear" w:color="auto" w:fill="auto"/>
        </w:rPr>
        <w:t>。</w:t>
      </w:r>
      <w:r>
        <w:rPr>
          <w:rFonts w:hint="default" w:ascii="Times New Roman" w:hAnsi="Times New Roman" w:eastAsia="仿宋_GB2312" w:cs="Times New Roman"/>
          <w:b w:val="0"/>
          <w:bCs w:val="0"/>
          <w:u w:val="none"/>
          <w:shd w:val="clear" w:color="auto" w:fill="auto"/>
        </w:rPr>
        <w:t>由</w:t>
      </w:r>
      <w:r>
        <w:rPr>
          <w:rFonts w:hint="default" w:ascii="Times New Roman" w:hAnsi="Times New Roman" w:eastAsia="仿宋_GB2312" w:cs="Times New Roman"/>
          <w:b w:val="0"/>
          <w:bCs w:val="0"/>
          <w:u w:val="none"/>
          <w:shd w:val="clear" w:color="auto" w:fill="auto"/>
          <w:lang w:val="en-US" w:eastAsia="zh-CN"/>
        </w:rPr>
        <w:t>金融发展服务中心</w:t>
      </w:r>
      <w:r>
        <w:rPr>
          <w:rFonts w:hint="default" w:ascii="Times New Roman" w:hAnsi="Times New Roman" w:eastAsia="仿宋_GB2312" w:cs="Times New Roman"/>
          <w:b w:val="0"/>
          <w:bCs w:val="0"/>
          <w:u w:val="none"/>
          <w:shd w:val="clear" w:color="auto" w:fill="auto"/>
        </w:rPr>
        <w:t>牵头实施</w:t>
      </w:r>
      <w:r>
        <w:rPr>
          <w:rFonts w:hint="default" w:ascii="Times New Roman" w:hAnsi="Times New Roman" w:eastAsia="仿宋_GB2312" w:cs="Times New Roman"/>
          <w:b w:val="0"/>
          <w:bCs w:val="0"/>
          <w:u w:val="none"/>
          <w:shd w:val="clear" w:color="auto" w:fill="auto"/>
          <w:lang w:eastAsia="zh-CN"/>
        </w:rPr>
        <w:t>，</w:t>
      </w:r>
      <w:r>
        <w:rPr>
          <w:rStyle w:val="16"/>
          <w:rFonts w:hint="default" w:ascii="Times New Roman" w:hAnsi="Times New Roman" w:eastAsia="仿宋_GB2312" w:cs="Times New Roman"/>
          <w:b w:val="0"/>
          <w:bCs/>
          <w:u w:val="none"/>
          <w:shd w:val="clear" w:color="auto" w:fill="auto"/>
          <w:lang w:val="en-US" w:eastAsia="zh-CN"/>
        </w:rPr>
        <w:t>共五方面5条意见，</w:t>
      </w:r>
      <w:r>
        <w:rPr>
          <w:rStyle w:val="16"/>
          <w:rFonts w:hint="default" w:ascii="Times New Roman" w:hAnsi="Times New Roman" w:eastAsia="仿宋_GB2312" w:cs="Times New Roman"/>
          <w:b/>
          <w:bCs w:val="0"/>
          <w:u w:val="none"/>
          <w:shd w:val="clear" w:color="auto" w:fill="auto"/>
          <w:lang w:val="en-US" w:eastAsia="zh-CN"/>
        </w:rPr>
        <w:t>一是保留了金融机构支持地方经济发展政策</w:t>
      </w:r>
      <w:r>
        <w:rPr>
          <w:rStyle w:val="16"/>
          <w:rFonts w:hint="default" w:ascii="Times New Roman" w:hAnsi="Times New Roman" w:eastAsia="仿宋_GB2312" w:cs="Times New Roman"/>
          <w:b w:val="0"/>
          <w:bCs/>
          <w:u w:val="none"/>
          <w:shd w:val="clear" w:color="auto" w:fill="auto"/>
          <w:lang w:val="en-US" w:eastAsia="zh-CN"/>
        </w:rPr>
        <w:t>。</w:t>
      </w:r>
      <w:r>
        <w:rPr>
          <w:rStyle w:val="16"/>
          <w:rFonts w:hint="default" w:ascii="Times New Roman" w:hAnsi="Times New Roman" w:eastAsia="仿宋_GB2312" w:cs="Times New Roman"/>
          <w:b/>
          <w:bCs w:val="0"/>
          <w:u w:val="none"/>
          <w:shd w:val="clear" w:color="auto" w:fill="auto"/>
          <w:lang w:val="en-US" w:eastAsia="zh-CN"/>
        </w:rPr>
        <w:t>二是新增</w:t>
      </w:r>
      <w:r>
        <w:rPr>
          <w:rFonts w:hint="default" w:ascii="Times New Roman" w:hAnsi="Times New Roman" w:eastAsia="仿宋_GB2312" w:cs="Times New Roman"/>
          <w:b/>
          <w:bCs/>
          <w:color w:val="000000"/>
          <w:szCs w:val="32"/>
          <w:highlight w:val="none"/>
          <w:u w:val="none"/>
          <w:lang w:val="en-US" w:eastAsia="zh-CN" w:bidi="ar"/>
        </w:rPr>
        <w:t>推动保险创新工作提档升级政策</w:t>
      </w:r>
      <w:r>
        <w:rPr>
          <w:rFonts w:hint="default" w:ascii="Times New Roman" w:hAnsi="Times New Roman" w:eastAsia="仿宋_GB2312" w:cs="Times New Roman"/>
          <w:b w:val="0"/>
          <w:bCs w:val="0"/>
          <w:color w:val="000000"/>
          <w:szCs w:val="32"/>
          <w:highlight w:val="none"/>
          <w:u w:val="none"/>
          <w:lang w:val="en-US" w:eastAsia="zh-CN" w:bidi="ar"/>
        </w:rPr>
        <w:t>。</w:t>
      </w:r>
      <w:r>
        <w:rPr>
          <w:rStyle w:val="16"/>
          <w:rFonts w:hint="default" w:ascii="Times New Roman" w:hAnsi="Times New Roman" w:eastAsia="仿宋_GB2312" w:cs="Times New Roman"/>
          <w:b w:val="0"/>
          <w:bCs w:val="0"/>
          <w:u w:val="none"/>
          <w:shd w:val="clear" w:color="auto" w:fill="auto"/>
          <w:lang w:val="en-US" w:eastAsia="zh-CN"/>
        </w:rPr>
        <w:t>安排158万元资金对推出保险创新项目、国内贸易信用保险、小额贷款保证保险等业务的保险机构给予奖励。</w:t>
      </w:r>
      <w:r>
        <w:rPr>
          <w:rStyle w:val="16"/>
          <w:rFonts w:hint="default" w:ascii="Times New Roman" w:hAnsi="Times New Roman" w:eastAsia="仿宋_GB2312" w:cs="Times New Roman"/>
          <w:b/>
          <w:bCs w:val="0"/>
          <w:u w:val="none"/>
          <w:shd w:val="clear" w:color="auto" w:fill="auto"/>
          <w:lang w:val="en-US" w:eastAsia="zh-CN"/>
        </w:rPr>
        <w:t>三是新增支持科技金融高质量发展政策</w:t>
      </w:r>
      <w:r>
        <w:rPr>
          <w:rStyle w:val="16"/>
          <w:rFonts w:hint="default" w:ascii="Times New Roman" w:hAnsi="Times New Roman" w:eastAsia="仿宋_GB2312" w:cs="Times New Roman"/>
          <w:b w:val="0"/>
          <w:bCs/>
          <w:u w:val="none"/>
          <w:shd w:val="clear" w:color="auto" w:fill="auto"/>
          <w:lang w:val="en-US" w:eastAsia="zh-CN"/>
        </w:rPr>
        <w:t>。安排300万元资金对科技企业提供科技信贷的银行机构及开展知识产权保险、研发费用损失保险、产品研发责任保险、科技成果转化费用损失保险、科技攻关险等业务的保险机构给予补助。</w:t>
      </w:r>
      <w:r>
        <w:rPr>
          <w:rStyle w:val="16"/>
          <w:rFonts w:hint="default" w:ascii="Times New Roman" w:hAnsi="Times New Roman" w:eastAsia="仿宋_GB2312" w:cs="Times New Roman"/>
          <w:b/>
          <w:bCs w:val="0"/>
          <w:u w:val="none"/>
          <w:shd w:val="clear" w:color="auto" w:fill="auto"/>
          <w:lang w:val="en-US" w:eastAsia="zh-CN"/>
        </w:rPr>
        <w:t>四是优化普惠金融政策</w:t>
      </w:r>
      <w:r>
        <w:rPr>
          <w:rStyle w:val="16"/>
          <w:rFonts w:hint="default" w:ascii="Times New Roman" w:hAnsi="Times New Roman" w:cs="Times New Roman"/>
          <w:b/>
          <w:bCs w:val="0"/>
          <w:u w:val="none"/>
          <w:shd w:val="clear" w:color="auto" w:fill="auto"/>
          <w:lang w:val="en-US" w:eastAsia="zh-CN"/>
        </w:rPr>
        <w:t>。</w:t>
      </w:r>
      <w:r>
        <w:rPr>
          <w:rStyle w:val="16"/>
          <w:rFonts w:hint="default" w:ascii="Times New Roman" w:hAnsi="Times New Roman" w:eastAsia="仿宋_GB2312" w:cs="Times New Roman"/>
          <w:b w:val="0"/>
          <w:bCs/>
          <w:u w:val="none"/>
          <w:shd w:val="clear" w:color="auto" w:fill="auto"/>
          <w:lang w:val="en-US" w:eastAsia="zh-CN"/>
        </w:rPr>
        <w:t>打造“溪鑫金融”服务品牌，安排不超过120万元的资金用于市级普惠金融服务中心开展融资对接、上市培育、政策宣传等金融服务。</w:t>
      </w:r>
      <w:r>
        <w:rPr>
          <w:rStyle w:val="16"/>
          <w:rFonts w:hint="default" w:ascii="Times New Roman" w:hAnsi="Times New Roman" w:eastAsia="仿宋_GB2312" w:cs="Times New Roman"/>
          <w:b/>
          <w:bCs w:val="0"/>
          <w:u w:val="none"/>
          <w:shd w:val="clear" w:color="auto" w:fill="auto"/>
          <w:lang w:val="en-US" w:eastAsia="zh-CN"/>
        </w:rPr>
        <w:t>五是保留了</w:t>
      </w:r>
      <w:r>
        <w:rPr>
          <w:rFonts w:hint="default" w:ascii="Times New Roman" w:hAnsi="Times New Roman" w:eastAsia="仿宋_GB2312" w:cs="Times New Roman"/>
          <w:b/>
          <w:bCs w:val="0"/>
          <w:u w:val="none"/>
          <w:lang w:val="en-US" w:eastAsia="zh-CN"/>
        </w:rPr>
        <w:t>担保风险补助政策</w:t>
      </w:r>
      <w:r>
        <w:rPr>
          <w:rFonts w:hint="default" w:ascii="Times New Roman" w:hAnsi="Times New Roman" w:eastAsia="仿宋_GB2312" w:cs="Times New Roman"/>
          <w:u w:val="none"/>
          <w:lang w:val="en-US" w:eastAsia="zh-CN"/>
        </w:rPr>
        <w:t>。</w:t>
      </w:r>
    </w:p>
    <w:p>
      <w:pPr>
        <w:ind w:firstLine="625"/>
        <w:rPr>
          <w:rStyle w:val="16"/>
          <w:rFonts w:hint="default" w:ascii="Times New Roman" w:hAnsi="Times New Roman" w:eastAsia="仿宋_GB2312" w:cs="Times New Roman"/>
          <w:b w:val="0"/>
          <w:bCs/>
          <w:u w:val="none"/>
          <w:shd w:val="clear" w:color="auto" w:fill="auto"/>
          <w:lang w:val="en-US" w:eastAsia="zh-CN"/>
        </w:rPr>
      </w:pPr>
      <w:r>
        <w:rPr>
          <w:rStyle w:val="16"/>
          <w:rFonts w:hint="default" w:ascii="Times New Roman" w:hAnsi="Times New Roman" w:cs="Times New Roman"/>
          <w:u w:val="none"/>
          <w:shd w:val="clear" w:color="auto" w:fill="auto"/>
        </w:rPr>
        <w:t>（</w:t>
      </w:r>
      <w:r>
        <w:rPr>
          <w:rStyle w:val="16"/>
          <w:rFonts w:hint="default" w:ascii="Times New Roman" w:hAnsi="Times New Roman" w:eastAsia="楷体_GB2312" w:cs="Times New Roman"/>
          <w:u w:val="none"/>
          <w:shd w:val="clear" w:color="auto" w:fill="auto"/>
          <w:lang w:val="en-US" w:eastAsia="zh-CN"/>
        </w:rPr>
        <w:t>八</w:t>
      </w:r>
      <w:r>
        <w:rPr>
          <w:rStyle w:val="16"/>
          <w:rFonts w:hint="default" w:ascii="Times New Roman" w:hAnsi="Times New Roman" w:cs="Times New Roman"/>
          <w:u w:val="none"/>
          <w:shd w:val="clear" w:color="auto" w:fill="auto"/>
        </w:rPr>
        <w:t>）强化交通扩容提质</w:t>
      </w:r>
      <w:r>
        <w:rPr>
          <w:rFonts w:hint="default" w:ascii="Times New Roman" w:hAnsi="Times New Roman" w:cs="Times New Roman"/>
          <w:u w:val="none"/>
          <w:shd w:val="clear" w:color="auto" w:fill="auto"/>
        </w:rPr>
        <w:t>。</w:t>
      </w:r>
      <w:r>
        <w:rPr>
          <w:rFonts w:hint="default" w:ascii="Times New Roman" w:hAnsi="Times New Roman" w:eastAsia="仿宋_GB2312" w:cs="Times New Roman"/>
          <w:b w:val="0"/>
          <w:bCs w:val="0"/>
          <w:u w:val="none"/>
          <w:shd w:val="clear" w:color="auto" w:fill="auto"/>
        </w:rPr>
        <w:t>由</w:t>
      </w:r>
      <w:r>
        <w:rPr>
          <w:rFonts w:hint="default" w:ascii="Times New Roman" w:hAnsi="Times New Roman" w:eastAsia="仿宋_GB2312" w:cs="Times New Roman"/>
          <w:b w:val="0"/>
          <w:bCs w:val="0"/>
          <w:u w:val="none"/>
          <w:shd w:val="clear" w:color="auto" w:fill="auto"/>
          <w:lang w:val="en-US" w:eastAsia="zh-CN"/>
        </w:rPr>
        <w:t>交通局</w:t>
      </w:r>
      <w:r>
        <w:rPr>
          <w:rFonts w:hint="default" w:ascii="Times New Roman" w:hAnsi="Times New Roman" w:eastAsia="仿宋_GB2312" w:cs="Times New Roman"/>
          <w:b w:val="0"/>
          <w:bCs w:val="0"/>
          <w:u w:val="none"/>
          <w:shd w:val="clear" w:color="auto" w:fill="auto"/>
        </w:rPr>
        <w:t>牵头实施</w:t>
      </w:r>
      <w:r>
        <w:rPr>
          <w:rFonts w:hint="default" w:ascii="Times New Roman" w:hAnsi="Times New Roman" w:eastAsia="仿宋_GB2312" w:cs="Times New Roman"/>
          <w:b w:val="0"/>
          <w:bCs w:val="0"/>
          <w:u w:val="none"/>
          <w:shd w:val="clear" w:color="auto" w:fill="auto"/>
          <w:lang w:eastAsia="zh-CN"/>
        </w:rPr>
        <w:t>，</w:t>
      </w:r>
      <w:r>
        <w:rPr>
          <w:rStyle w:val="16"/>
          <w:rFonts w:hint="default" w:ascii="Times New Roman" w:hAnsi="Times New Roman" w:eastAsia="仿宋_GB2312" w:cs="Times New Roman"/>
          <w:b w:val="0"/>
          <w:bCs w:val="0"/>
          <w:u w:val="none"/>
          <w:shd w:val="clear" w:color="auto" w:fill="auto"/>
          <w:lang w:val="en-US" w:eastAsia="zh-CN"/>
        </w:rPr>
        <w:t>共两方面2条意见，</w:t>
      </w:r>
      <w:r>
        <w:rPr>
          <w:rStyle w:val="16"/>
          <w:rFonts w:hint="default" w:ascii="Times New Roman" w:hAnsi="Times New Roman" w:eastAsia="仿宋_GB2312" w:cs="Times New Roman"/>
          <w:b/>
          <w:bCs w:val="0"/>
          <w:u w:val="none"/>
          <w:shd w:val="clear" w:color="auto" w:fill="auto"/>
          <w:lang w:val="en-US" w:eastAsia="zh-CN"/>
        </w:rPr>
        <w:t>一是</w:t>
      </w:r>
      <w:r>
        <w:rPr>
          <w:rFonts w:hint="default" w:ascii="Times New Roman" w:hAnsi="Times New Roman" w:eastAsia="仿宋_GB2312" w:cs="Times New Roman"/>
          <w:b/>
          <w:bCs w:val="0"/>
          <w:kern w:val="0"/>
          <w:szCs w:val="32"/>
          <w:u w:val="none"/>
        </w:rPr>
        <w:t>鼓励邮政快递业及运输相关企业发展</w:t>
      </w:r>
      <w:r>
        <w:rPr>
          <w:rFonts w:hint="default" w:ascii="Times New Roman" w:hAnsi="Times New Roman" w:eastAsia="仿宋_GB2312" w:cs="Times New Roman"/>
          <w:b w:val="0"/>
          <w:bCs/>
          <w:kern w:val="0"/>
          <w:szCs w:val="32"/>
          <w:u w:val="none"/>
          <w:lang w:eastAsia="zh-CN"/>
        </w:rPr>
        <w:t>。</w:t>
      </w:r>
      <w:r>
        <w:rPr>
          <w:rFonts w:hint="default" w:ascii="Times New Roman" w:hAnsi="Times New Roman" w:cs="Times New Roman"/>
          <w:b w:val="0"/>
          <w:bCs/>
          <w:kern w:val="0"/>
          <w:szCs w:val="32"/>
          <w:u w:val="none"/>
          <w:lang w:val="en-US" w:eastAsia="zh-CN"/>
        </w:rPr>
        <w:t>二</w:t>
      </w:r>
      <w:r>
        <w:rPr>
          <w:rFonts w:hint="default" w:ascii="Times New Roman" w:hAnsi="Times New Roman" w:eastAsia="仿宋_GB2312" w:cs="Times New Roman"/>
          <w:b/>
          <w:bCs w:val="0"/>
          <w:kern w:val="0"/>
          <w:szCs w:val="32"/>
          <w:u w:val="none"/>
          <w:lang w:val="en-US" w:eastAsia="zh-CN"/>
        </w:rPr>
        <w:t>是</w:t>
      </w:r>
      <w:r>
        <w:rPr>
          <w:rFonts w:hint="default" w:ascii="Times New Roman" w:hAnsi="Times New Roman" w:eastAsia="仿宋_GB2312" w:cs="Times New Roman"/>
          <w:b/>
          <w:bCs w:val="0"/>
          <w:kern w:val="0"/>
          <w:szCs w:val="32"/>
          <w:u w:val="none"/>
        </w:rPr>
        <w:t>支持道路货运企业做大做强</w:t>
      </w:r>
      <w:r>
        <w:rPr>
          <w:rFonts w:hint="default" w:ascii="Times New Roman" w:hAnsi="Times New Roman" w:eastAsia="仿宋_GB2312" w:cs="Times New Roman"/>
          <w:b w:val="0"/>
          <w:bCs/>
          <w:kern w:val="0"/>
          <w:szCs w:val="32"/>
          <w:u w:val="none"/>
          <w:lang w:eastAsia="zh-CN"/>
        </w:rPr>
        <w:t>。</w:t>
      </w:r>
    </w:p>
    <w:p>
      <w:pPr>
        <w:spacing w:line="540" w:lineRule="exact"/>
        <w:ind w:firstLine="625"/>
        <w:rPr>
          <w:rFonts w:hint="default" w:ascii="Times New Roman" w:hAnsi="Times New Roman" w:cs="Times New Roman"/>
          <w:u w:val="none"/>
        </w:rPr>
      </w:pPr>
      <w:r>
        <w:rPr>
          <w:rStyle w:val="16"/>
          <w:rFonts w:hint="default" w:ascii="Times New Roman" w:hAnsi="Times New Roman" w:cs="Times New Roman"/>
          <w:u w:val="none"/>
          <w:shd w:val="clear" w:color="auto" w:fill="auto"/>
        </w:rPr>
        <w:t>（</w:t>
      </w:r>
      <w:r>
        <w:rPr>
          <w:rStyle w:val="16"/>
          <w:rFonts w:hint="default" w:ascii="Times New Roman" w:hAnsi="Times New Roman" w:eastAsia="楷体_GB2312" w:cs="Times New Roman"/>
          <w:u w:val="none"/>
          <w:shd w:val="clear" w:color="auto" w:fill="auto"/>
          <w:lang w:val="en-US" w:eastAsia="zh-CN"/>
        </w:rPr>
        <w:t>九</w:t>
      </w:r>
      <w:r>
        <w:rPr>
          <w:rStyle w:val="16"/>
          <w:rFonts w:hint="default" w:ascii="Times New Roman" w:hAnsi="Times New Roman" w:cs="Times New Roman"/>
          <w:u w:val="none"/>
          <w:shd w:val="clear" w:color="auto" w:fill="auto"/>
        </w:rPr>
        <w:t>）</w:t>
      </w:r>
      <w:r>
        <w:rPr>
          <w:rStyle w:val="16"/>
          <w:rFonts w:hint="default" w:ascii="Times New Roman" w:hAnsi="Times New Roman" w:eastAsia="楷体_GB2312" w:cs="Times New Roman"/>
          <w:u w:val="none"/>
          <w:shd w:val="clear" w:color="auto" w:fill="auto"/>
          <w:lang w:val="en-US" w:eastAsia="zh-CN"/>
        </w:rPr>
        <w:t>附则</w:t>
      </w:r>
      <w:r>
        <w:rPr>
          <w:rFonts w:hint="default" w:ascii="Times New Roman" w:hAnsi="Times New Roman" w:cs="Times New Roman"/>
          <w:u w:val="none"/>
          <w:shd w:val="clear" w:color="auto" w:fill="auto"/>
        </w:rPr>
        <w:t>。</w:t>
      </w:r>
      <w:r>
        <w:rPr>
          <w:rFonts w:hint="default" w:ascii="Times New Roman" w:hAnsi="Times New Roman" w:cs="Times New Roman"/>
          <w:u w:val="none"/>
          <w:shd w:val="clear" w:color="auto" w:fill="auto"/>
          <w:lang w:val="en-US" w:eastAsia="zh-CN"/>
        </w:rPr>
        <w:t>有一处调整，为加快推进数字化2.0全覆盖，鼓励企业加大数字化投入，新增“对未达到数字化等级二级的制造业企业，按70%比例享受本政策奖励，成立三年内(含)的初创型企业和高端人才及团队实施的科技计划项目及创业创新项目等暂不具备实施数字化改造条件的企业除外。”</w:t>
      </w:r>
    </w:p>
    <w:sectPr>
      <w:footerReference r:id="rId5" w:type="default"/>
      <w:footerReference r:id="rId6" w:type="even"/>
      <w:type w:val="continuous"/>
      <w:pgSz w:w="11906" w:h="16838"/>
      <w:pgMar w:top="2098" w:right="1474" w:bottom="1985" w:left="1588" w:header="851" w:footer="1361" w:gutter="0"/>
      <w:cols w:space="425" w:num="1"/>
      <w:docGrid w:type="linesAndChars" w:linePitch="573" w:charSpace="-184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24"/>
      </w:pPr>
      <w:r>
        <w:separator/>
      </w:r>
    </w:p>
  </w:endnote>
  <w:endnote w:type="continuationSeparator" w:id="1">
    <w:p>
      <w:pPr>
        <w:spacing w:line="240" w:lineRule="auto"/>
        <w:ind w:firstLine="62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Calibri Light"/>
    <w:panose1 w:val="020F0502020204030204"/>
    <w:charset w:val="00"/>
    <w:family w:val="swiss"/>
    <w:pitch w:val="default"/>
    <w:sig w:usb0="00000000" w:usb1="00000000" w:usb2="00000001" w:usb3="00000000" w:csb0="0000019F" w:csb1="00000000"/>
  </w:font>
  <w:font w:name="Calibri Light">
    <w:panose1 w:val="020F0302020204030204"/>
    <w:charset w:val="00"/>
    <w:family w:val="auto"/>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公文小标宋简">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Cambria">
    <w:altName w:val="DejaVu Math TeX Gyre"/>
    <w:panose1 w:val="02040503050406030204"/>
    <w:charset w:val="00"/>
    <w:family w:val="roman"/>
    <w:pitch w:val="default"/>
    <w:sig w:usb0="00000000" w:usb1="00000000" w:usb2="02000000" w:usb3="00000000" w:csb0="0000019F" w:csb1="00000000"/>
  </w:font>
  <w:font w:name="DejaVu Math TeX Gyre">
    <w:panose1 w:val="02000503000000000000"/>
    <w:charset w:val="00"/>
    <w:family w:val="auto"/>
    <w:pitch w:val="default"/>
    <w:sig w:usb0="A10000EF" w:usb1="4201F9EE" w:usb2="02000000" w:usb3="00000000" w:csb0="60000193" w:csb1="0DD4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lear" w:pos="4153"/>
        <w:tab w:val="clear" w:pos="8306"/>
      </w:tabs>
      <w:ind w:left="350" w:right="360" w:firstLine="560"/>
      <w:jc w:val="right"/>
    </w:pPr>
    <w:r>
      <w:rPr>
        <w:rStyle w:val="15"/>
        <w:rFonts w:hint="eastAsia"/>
      </w:rPr>
      <w:t>－</w:t>
    </w:r>
    <w:r>
      <w:rPr>
        <w:rStyle w:val="15"/>
      </w:rPr>
      <w:fldChar w:fldCharType="begin"/>
    </w:r>
    <w:r>
      <w:rPr>
        <w:rStyle w:val="15"/>
      </w:rPr>
      <w:instrText xml:space="preserve"> PAGE </w:instrText>
    </w:r>
    <w:r>
      <w:rPr>
        <w:rStyle w:val="15"/>
      </w:rPr>
      <w:fldChar w:fldCharType="separate"/>
    </w:r>
    <w:r>
      <w:rPr>
        <w:rStyle w:val="15"/>
      </w:rPr>
      <w:t>1</w:t>
    </w:r>
    <w:r>
      <w:rPr>
        <w:rStyle w:val="15"/>
      </w:rPr>
      <w:fldChar w:fldCharType="end"/>
    </w:r>
    <w:r>
      <w:rPr>
        <w:rStyle w:val="15"/>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lear" w:pos="4153"/>
        <w:tab w:val="clear" w:pos="8306"/>
      </w:tabs>
      <w:ind w:left="350" w:right="360" w:firstLine="560"/>
    </w:pPr>
    <w:r>
      <w:rPr>
        <w:rStyle w:val="15"/>
        <w:rFonts w:hint="eastAsia"/>
      </w:rPr>
      <w:t>－</w:t>
    </w:r>
    <w:r>
      <w:rPr>
        <w:rStyle w:val="15"/>
      </w:rPr>
      <w:fldChar w:fldCharType="begin"/>
    </w:r>
    <w:r>
      <w:rPr>
        <w:rStyle w:val="15"/>
      </w:rPr>
      <w:instrText xml:space="preserve"> PAGE </w:instrText>
    </w:r>
    <w:r>
      <w:rPr>
        <w:rStyle w:val="15"/>
      </w:rPr>
      <w:fldChar w:fldCharType="separate"/>
    </w:r>
    <w:r>
      <w:rPr>
        <w:rStyle w:val="15"/>
      </w:rPr>
      <w:t>2</w:t>
    </w:r>
    <w:r>
      <w:rPr>
        <w:rStyle w:val="15"/>
      </w:rPr>
      <w:fldChar w:fldCharType="end"/>
    </w:r>
    <w:r>
      <w:rPr>
        <w:rStyle w:val="15"/>
        <w:rFonts w:hint="eastAsia"/>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24"/>
      </w:pPr>
      <w:r>
        <w:separator/>
      </w:r>
    </w:p>
  </w:footnote>
  <w:footnote w:type="continuationSeparator" w:id="1">
    <w:p>
      <w:pPr>
        <w:spacing w:line="240" w:lineRule="auto"/>
        <w:ind w:firstLine="624"/>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mirrorMargins w:val="1"/>
  <w:bordersDoNotSurroundHeader w:val="1"/>
  <w:bordersDoNotSurroundFooter w:val="1"/>
  <w:documentProtection w:enforcement="0"/>
  <w:defaultTabStop w:val="425"/>
  <w:evenAndOddHeaders w:val="1"/>
  <w:drawingGridHorizontalSpacing w:val="311"/>
  <w:drawingGridVerticalSpacing w:val="573"/>
  <w:displayHorizontalDrawingGridEvery w:val="0"/>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61D"/>
    <w:rsid w:val="001C52BD"/>
    <w:rsid w:val="002605B7"/>
    <w:rsid w:val="00297970"/>
    <w:rsid w:val="002E1F12"/>
    <w:rsid w:val="002F19EE"/>
    <w:rsid w:val="004541D2"/>
    <w:rsid w:val="004831C6"/>
    <w:rsid w:val="005156CB"/>
    <w:rsid w:val="007740F4"/>
    <w:rsid w:val="00944AEF"/>
    <w:rsid w:val="00946850"/>
    <w:rsid w:val="00AA261D"/>
    <w:rsid w:val="00B17B98"/>
    <w:rsid w:val="00B41AC9"/>
    <w:rsid w:val="00BE571D"/>
    <w:rsid w:val="00D25B88"/>
    <w:rsid w:val="00E00C6D"/>
    <w:rsid w:val="00F816E9"/>
    <w:rsid w:val="0286118B"/>
    <w:rsid w:val="0A172154"/>
    <w:rsid w:val="26CA775D"/>
    <w:rsid w:val="2CEE4C3F"/>
    <w:rsid w:val="2E105993"/>
    <w:rsid w:val="34DD482E"/>
    <w:rsid w:val="49571416"/>
    <w:rsid w:val="4991173E"/>
    <w:rsid w:val="5AA67D35"/>
    <w:rsid w:val="629E2ADC"/>
    <w:rsid w:val="66834ABD"/>
    <w:rsid w:val="70AC7683"/>
    <w:rsid w:val="7176062B"/>
    <w:rsid w:val="718738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name="Normal Indent"/>
    <w:lsdException w:uiPriority="99" w:name="footnote text"/>
    <w:lsdException w:uiPriority="99" w:name="annotation text"/>
    <w:lsdException w:qFormat="1" w:unhideWhenUsed="0" w:uiPriority="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qFormat="1" w:unhideWhenUsed="0"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52" w:lineRule="exact"/>
      <w:ind w:firstLine="200" w:firstLineChars="200"/>
      <w:jc w:val="both"/>
    </w:pPr>
    <w:rPr>
      <w:rFonts w:ascii="Times New Roman" w:hAnsi="Times New Roman" w:eastAsia="仿宋_GB2312" w:cs="Times New Roman"/>
      <w:kern w:val="2"/>
      <w:sz w:val="32"/>
      <w:lang w:val="en-US" w:eastAsia="zh-CN" w:bidi="ar-SA"/>
    </w:rPr>
  </w:style>
  <w:style w:type="paragraph" w:styleId="5">
    <w:name w:val="heading 1"/>
    <w:basedOn w:val="1"/>
    <w:next w:val="1"/>
    <w:qFormat/>
    <w:uiPriority w:val="0"/>
    <w:pPr>
      <w:keepNext/>
      <w:keepLines/>
      <w:adjustRightInd w:val="0"/>
      <w:jc w:val="distribute"/>
      <w:outlineLvl w:val="0"/>
    </w:pPr>
    <w:rPr>
      <w:rFonts w:eastAsia="方正小标宋简体"/>
      <w:b/>
      <w:color w:val="FF0000"/>
      <w:kern w:val="44"/>
      <w:sz w:val="72"/>
    </w:rPr>
  </w:style>
  <w:style w:type="paragraph" w:styleId="6">
    <w:name w:val="heading 2"/>
    <w:basedOn w:val="1"/>
    <w:next w:val="4"/>
    <w:qFormat/>
    <w:uiPriority w:val="0"/>
    <w:pPr>
      <w:keepNext/>
      <w:keepLines/>
      <w:outlineLvl w:val="1"/>
    </w:pPr>
    <w:rPr>
      <w:rFonts w:ascii="Arial" w:hAnsi="Arial" w:eastAsia="黑体"/>
    </w:rPr>
  </w:style>
  <w:style w:type="paragraph" w:styleId="7">
    <w:name w:val="heading 3"/>
    <w:basedOn w:val="1"/>
    <w:next w:val="4"/>
    <w:qFormat/>
    <w:uiPriority w:val="0"/>
    <w:pPr>
      <w:keepNext/>
      <w:keepLines/>
      <w:spacing w:beforeLines="100" w:afterLines="50"/>
      <w:ind w:firstLine="0" w:firstLineChars="0"/>
      <w:jc w:val="center"/>
      <w:outlineLvl w:val="2"/>
    </w:pPr>
    <w:rPr>
      <w:rFonts w:ascii="公文小标宋简" w:eastAsia="方正小标宋简体"/>
      <w:sz w:val="4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qFormat/>
    <w:uiPriority w:val="0"/>
    <w:pPr>
      <w:spacing w:after="0"/>
      <w:ind w:firstLine="420" w:firstLineChars="200"/>
    </w:pPr>
  </w:style>
  <w:style w:type="paragraph" w:styleId="3">
    <w:name w:val="Body Text Indent"/>
    <w:basedOn w:val="1"/>
    <w:next w:val="4"/>
    <w:qFormat/>
    <w:uiPriority w:val="0"/>
    <w:pPr>
      <w:spacing w:after="120"/>
      <w:ind w:left="420" w:leftChars="200"/>
    </w:pPr>
  </w:style>
  <w:style w:type="paragraph" w:styleId="4">
    <w:name w:val="Normal Indent"/>
    <w:basedOn w:val="1"/>
    <w:next w:val="1"/>
    <w:semiHidden/>
    <w:qFormat/>
    <w:uiPriority w:val="0"/>
    <w:pPr>
      <w:ind w:firstLine="630"/>
    </w:pPr>
    <w:rPr>
      <w:kern w:val="0"/>
    </w:rPr>
  </w:style>
  <w:style w:type="paragraph" w:styleId="8">
    <w:name w:val="table of authorities"/>
    <w:basedOn w:val="1"/>
    <w:next w:val="1"/>
    <w:qFormat/>
    <w:uiPriority w:val="99"/>
    <w:pPr>
      <w:ind w:left="420" w:leftChars="200"/>
    </w:pPr>
  </w:style>
  <w:style w:type="paragraph" w:styleId="9">
    <w:name w:val="Date"/>
    <w:basedOn w:val="1"/>
    <w:next w:val="1"/>
    <w:semiHidden/>
    <w:qFormat/>
    <w:uiPriority w:val="0"/>
  </w:style>
  <w:style w:type="paragraph" w:styleId="10">
    <w:name w:val="footer"/>
    <w:basedOn w:val="1"/>
    <w:semiHidden/>
    <w:qFormat/>
    <w:uiPriority w:val="0"/>
    <w:pPr>
      <w:tabs>
        <w:tab w:val="center" w:pos="4153"/>
        <w:tab w:val="right" w:pos="8306"/>
      </w:tabs>
      <w:snapToGrid w:val="0"/>
      <w:jc w:val="left"/>
    </w:pPr>
    <w:rPr>
      <w:sz w:val="18"/>
    </w:rPr>
  </w:style>
  <w:style w:type="paragraph" w:styleId="11">
    <w:name w:val="header"/>
    <w:basedOn w:val="1"/>
    <w:semiHidden/>
    <w:qFormat/>
    <w:uiPriority w:val="0"/>
    <w:pPr>
      <w:tabs>
        <w:tab w:val="center" w:pos="4153"/>
        <w:tab w:val="right" w:pos="8306"/>
      </w:tabs>
      <w:snapToGrid w:val="0"/>
      <w:jc w:val="center"/>
    </w:pPr>
    <w:rPr>
      <w:sz w:val="18"/>
    </w:rPr>
  </w:style>
  <w:style w:type="paragraph" w:styleId="12">
    <w:name w:val="Subtitle"/>
    <w:basedOn w:val="1"/>
    <w:next w:val="1"/>
    <w:link w:val="21"/>
    <w:qFormat/>
    <w:uiPriority w:val="11"/>
    <w:pPr>
      <w:spacing w:afterLines="50" w:line="312" w:lineRule="atLeast"/>
      <w:ind w:firstLine="0" w:firstLineChars="0"/>
      <w:jc w:val="center"/>
      <w:outlineLvl w:val="1"/>
    </w:pPr>
    <w:rPr>
      <w:rFonts w:eastAsia="楷体_GB2312" w:asciiTheme="majorHAnsi" w:hAnsiTheme="majorHAnsi" w:cstheme="majorBidi"/>
      <w:bCs/>
      <w:kern w:val="28"/>
      <w:szCs w:val="32"/>
    </w:rPr>
  </w:style>
  <w:style w:type="character" w:styleId="15">
    <w:name w:val="page number"/>
    <w:basedOn w:val="14"/>
    <w:semiHidden/>
    <w:qFormat/>
    <w:uiPriority w:val="0"/>
    <w:rPr>
      <w:rFonts w:eastAsia="宋体"/>
      <w:sz w:val="28"/>
    </w:rPr>
  </w:style>
  <w:style w:type="character" w:styleId="16">
    <w:name w:val="Emphasis"/>
    <w:basedOn w:val="14"/>
    <w:qFormat/>
    <w:uiPriority w:val="20"/>
    <w:rPr>
      <w:rFonts w:eastAsia="楷体_GB2312"/>
      <w:b/>
      <w:iCs/>
      <w:sz w:val="32"/>
    </w:rPr>
  </w:style>
  <w:style w:type="paragraph" w:customStyle="1" w:styleId="17">
    <w:name w:val="主题词"/>
    <w:basedOn w:val="1"/>
    <w:qFormat/>
    <w:uiPriority w:val="0"/>
    <w:pPr>
      <w:framePr w:wrap="notBeside" w:vAnchor="margin" w:hAnchor="margin" w:yAlign="bottom"/>
      <w:ind w:left="1246" w:hanging="1246"/>
    </w:pPr>
    <w:rPr>
      <w:rFonts w:eastAsia="方正小标宋简体"/>
    </w:rPr>
  </w:style>
  <w:style w:type="paragraph" w:customStyle="1" w:styleId="18">
    <w:name w:val="附件"/>
    <w:basedOn w:val="1"/>
    <w:qFormat/>
    <w:uiPriority w:val="0"/>
    <w:pPr>
      <w:ind w:left="1638" w:hanging="1016"/>
    </w:pPr>
  </w:style>
  <w:style w:type="paragraph" w:customStyle="1" w:styleId="19">
    <w:name w:val="秘密紧急"/>
    <w:basedOn w:val="1"/>
    <w:qFormat/>
    <w:uiPriority w:val="0"/>
    <w:pPr>
      <w:jc w:val="right"/>
    </w:pPr>
    <w:rPr>
      <w:rFonts w:ascii="黑体" w:eastAsia="黑体"/>
    </w:rPr>
  </w:style>
  <w:style w:type="paragraph" w:customStyle="1" w:styleId="20">
    <w:name w:val="抄 送"/>
    <w:basedOn w:val="17"/>
    <w:uiPriority w:val="0"/>
    <w:pPr>
      <w:ind w:left="0" w:firstLine="0"/>
    </w:pPr>
    <w:rPr>
      <w:rFonts w:eastAsia="仿宋_GB2312"/>
    </w:rPr>
  </w:style>
  <w:style w:type="character" w:customStyle="1" w:styleId="21">
    <w:name w:val="副标题 字符"/>
    <w:basedOn w:val="14"/>
    <w:link w:val="12"/>
    <w:qFormat/>
    <w:uiPriority w:val="11"/>
    <w:rPr>
      <w:rFonts w:eastAsia="楷体_GB2312" w:asciiTheme="majorHAnsi" w:hAnsiTheme="majorHAnsi" w:cstheme="majorBidi"/>
      <w:bCs/>
      <w:kern w:val="28"/>
      <w:sz w:val="32"/>
      <w:szCs w:val="32"/>
    </w:rPr>
  </w:style>
  <w:style w:type="character" w:customStyle="1" w:styleId="22">
    <w:name w:val="Intense Emphasis"/>
    <w:basedOn w:val="14"/>
    <w:qFormat/>
    <w:uiPriority w:val="21"/>
    <w:rPr>
      <w:rFonts w:eastAsia="楷体_GB2312"/>
      <w:b/>
      <w:bCs/>
      <w:iCs/>
      <w:color w:val="FF0000"/>
      <w:sz w:val="32"/>
      <w:u w:val="single"/>
    </w:rPr>
  </w:style>
  <w:style w:type="character" w:customStyle="1" w:styleId="23">
    <w:name w:val="vnews"/>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DoubleOX</Company>
  <Pages>3</Pages>
  <Words>231</Words>
  <Characters>1321</Characters>
  <Lines>11</Lines>
  <Paragraphs>3</Paragraphs>
  <TotalTime>2</TotalTime>
  <ScaleCrop>false</ScaleCrop>
  <LinksUpToDate>false</LinksUpToDate>
  <CharactersWithSpaces>1549</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2022-05-19T02:40:00Z</dcterms:created>
  <dc:creator>Administrator</dc:creator>
  <cp:lastModifiedBy>Administrator</cp:lastModifiedBy>
  <cp:lastPrinted>2000-11-30T06:55:00Z</cp:lastPrinted>
  <dcterms:modified xsi:type="dcterms:W3CDTF">2025-07-28T02:18:04Z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475A3FE064CB4A279179FE34DC57225D</vt:lpwstr>
  </property>
</Properties>
</file>