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47F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杭甬高速复线宁波段一期工程于2019年全面开工建设，计划于2023年底建成通车。按照《公路安全保护条例》第十八条规定，公路渡口和中型以上公路桥梁周围200米范围内除按照国家有关规定设立的为车辆补充燃料的场所、设施外，禁止在下列范围内设立生产、储存、销售易燃、易爆、剧毒、放射性等危险物品的场所、设施。宁波西奥东升涂料系统有限公司属于危化企业，公司距离杭甬高速复线宁波段距离不足200米，不满足公路桥梁安全保护间距要求。因企业不在杭甬高速复线用地红线范围内，企业需要原地整改，不做拆迁征收处理。</w:t>
      </w:r>
    </w:p>
    <w:p w14:paraId="538609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</w:pPr>
      <w:r>
        <w:rPr>
          <w:rFonts w:hint="eastAsia"/>
          <w:lang w:val="en-US" w:eastAsia="zh-CN"/>
        </w:rPr>
        <w:t>根据慈溪市人民政府专题会议纪要（[2023]76号），为满足危化企业生产车间和危化物品存储仓库距离高速公路200米的要求，2022年12月9日评审专家出具意见，对宁波西奥东升涂料系统有限公司地块上的附属物建筑全部拆除，并进行重新布局，要求建筑容积率不变，产能不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YWRlZTEyMDEzOTFkYjFiODJkMjhjOTEzYmRiNmIifQ=="/>
  </w:docVars>
  <w:rsids>
    <w:rsidRoot w:val="00000000"/>
    <w:rsid w:val="53F92E9A"/>
    <w:rsid w:val="61AB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</w:pPr>
    <w:rPr>
      <w:rFonts w:ascii="Times New Roman" w:hAnsi="Times New Roman" w:eastAsia="仿宋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rFonts w:cs="Times New Roman"/>
      <w:kern w:val="0"/>
      <w:sz w:val="18"/>
      <w:szCs w:val="18"/>
    </w:rPr>
  </w:style>
  <w:style w:type="paragraph" w:styleId="3">
    <w:name w:val="footnote text"/>
    <w:basedOn w:val="1"/>
    <w:next w:val="2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521</Characters>
  <Lines>0</Lines>
  <Paragraphs>0</Paragraphs>
  <TotalTime>0</TotalTime>
  <ScaleCrop>false</ScaleCrop>
  <LinksUpToDate>false</LinksUpToDate>
  <CharactersWithSpaces>521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2024-10-12T02:59:00Z</dcterms:created>
  <dc:creator>marssong</dc:creator>
  <cp:lastModifiedBy>瑞尚</cp:lastModifiedBy>
  <dcterms:modified xsi:type="dcterms:W3CDTF">2024-10-12T03:08:47Z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4E572D845C6C4EDEAEA78253F30B2AEC_12</vt:lpwstr>
  </property>
</Properties>
</file>