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D38F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bookmarkStart w:id="0" w:name="_GoBack"/>
      <w:r>
        <w:rPr>
          <w:rFonts w:hint="eastAsia" w:ascii="方正小标宋简体" w:hAnsi="方正小标宋简体" w:eastAsia="方正小标宋简体" w:cs="方正小标宋简体"/>
          <w:sz w:val="44"/>
          <w:szCs w:val="44"/>
          <w:lang w:eastAsia="zh-CN"/>
        </w:rPr>
        <w:t>关于印发</w:t>
      </w:r>
      <w:r>
        <w:rPr>
          <w:rFonts w:hint="eastAsia" w:ascii="方正小标宋简体" w:hAnsi="方正小标宋简体" w:eastAsia="方正小标宋简体" w:cs="方正小标宋简体"/>
          <w:sz w:val="44"/>
          <w:szCs w:val="44"/>
          <w:lang w:val="en-US" w:eastAsia="zh-CN"/>
        </w:rPr>
        <w:t>2024年</w:t>
      </w:r>
      <w:r>
        <w:rPr>
          <w:rFonts w:hint="eastAsia" w:ascii="方正小标宋简体" w:hAnsi="方正小标宋简体" w:eastAsia="方正小标宋简体" w:cs="方正小标宋简体"/>
          <w:sz w:val="44"/>
          <w:szCs w:val="44"/>
          <w:lang w:eastAsia="zh-CN"/>
        </w:rPr>
        <w:t>慈溪市推进产业高质量发展政策科技专项实施细则的通知</w:t>
      </w:r>
    </w:p>
    <w:p w14:paraId="5034BB2F">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（意见征求稿）</w:t>
      </w:r>
    </w:p>
    <w:bookmarkEnd w:id="0"/>
    <w:p w14:paraId="745C7BE7">
      <w:pPr>
        <w:rPr>
          <w:rFonts w:hint="eastAsia"/>
          <w:lang w:eastAsia="zh-CN"/>
        </w:rPr>
      </w:pPr>
    </w:p>
    <w:p w14:paraId="6480397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各镇（街道）发展服务办、慈溪滨海经济开发区管委会发展服务办、慈溪智能家电高新技术产业园管委会经发科、市杭州湾环创中心经发科：</w:t>
      </w:r>
    </w:p>
    <w:p w14:paraId="73EE1F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根据慈溪市人民政府办公室《2024年慈溪市推进产业高质量发展的政策意见》（慈政办发〔2024〕40号）文件精神，市科技局会同市财政制定了《</w:t>
      </w:r>
      <w:r>
        <w:rPr>
          <w:rFonts w:hint="eastAsia" w:ascii="仿宋_GB2312" w:hAnsi="仿宋_GB2312" w:eastAsia="仿宋_GB2312" w:cs="仿宋_GB2312"/>
          <w:sz w:val="32"/>
          <w:szCs w:val="32"/>
          <w:lang w:val="en-US" w:eastAsia="zh-CN"/>
        </w:rPr>
        <w:t>2024年慈溪市推进产业高质量发展政策科技专项实施细则》，现予下发，请贯彻执行。</w:t>
      </w:r>
    </w:p>
    <w:p w14:paraId="2B7D73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本实施细则的实施期限与</w:t>
      </w:r>
      <w:r>
        <w:rPr>
          <w:rFonts w:hint="eastAsia" w:ascii="仿宋_GB2312" w:hAnsi="仿宋_GB2312" w:eastAsia="仿宋_GB2312" w:cs="仿宋_GB2312"/>
          <w:sz w:val="32"/>
          <w:szCs w:val="32"/>
          <w:lang w:eastAsia="zh-CN"/>
        </w:rPr>
        <w:t>慈政办发〔2024〕40号相关政策一致，相关行为认定及取数以</w:t>
      </w:r>
      <w:r>
        <w:rPr>
          <w:rFonts w:hint="eastAsia" w:ascii="仿宋_GB2312" w:hAnsi="仿宋_GB2312" w:eastAsia="仿宋_GB2312" w:cs="仿宋_GB2312"/>
          <w:sz w:val="32"/>
          <w:szCs w:val="32"/>
          <w:lang w:val="en-US" w:eastAsia="zh-CN"/>
        </w:rPr>
        <w:t>2024年度数据为准。具体由市科技局和市财政局负责解释。</w:t>
      </w:r>
    </w:p>
    <w:p w14:paraId="653174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14:paraId="1BE40D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1.2024年科技型企业培育实施细则</w:t>
      </w:r>
    </w:p>
    <w:p w14:paraId="697C7C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en-US" w:eastAsia="zh-CN"/>
        </w:rPr>
        <w:t>2024年企业研发机构建设实施细则</w:t>
      </w:r>
    </w:p>
    <w:p w14:paraId="1DA085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3.2024年科技创新高质量发展考核实施细则</w:t>
      </w:r>
    </w:p>
    <w:p w14:paraId="5282F5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4.2024年科技计划项目实施细则</w:t>
      </w:r>
    </w:p>
    <w:p w14:paraId="5D7C7858">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5.2024年科技成果奖励实施细则</w:t>
      </w:r>
    </w:p>
    <w:p w14:paraId="163510C9">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6.2024年科创平台补助实施细则</w:t>
      </w:r>
    </w:p>
    <w:p w14:paraId="103EFA0C">
      <w:pPr>
        <w:pStyle w:val="5"/>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7.2024年科技型中小企业服务站考核实施细则</w:t>
      </w:r>
    </w:p>
    <w:p w14:paraId="22DF4435">
      <w:pPr>
        <w:pStyle w:val="5"/>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8.2024年科技服务政策实施细则</w:t>
      </w:r>
    </w:p>
    <w:p w14:paraId="0042B17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14:paraId="7334AA0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2024年科技型企业培育实施细则</w:t>
      </w:r>
    </w:p>
    <w:p w14:paraId="301B3A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38E492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一、补助对象</w:t>
      </w:r>
    </w:p>
    <w:p w14:paraId="511D11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（一）科技管理部门认定的高新技术培育企业；</w:t>
      </w:r>
    </w:p>
    <w:p w14:paraId="42CF0E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（二）当年认定的浙江省科技型中小企业。</w:t>
      </w:r>
    </w:p>
    <w:p w14:paraId="3F8661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二、认定标准</w:t>
      </w:r>
    </w:p>
    <w:p w14:paraId="46D129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（一）高新技术培育企业</w:t>
      </w:r>
    </w:p>
    <w:p w14:paraId="6AD888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1.企业提供的产品和服务不属于国家规定的禁止、限制和淘汰类；</w:t>
      </w:r>
    </w:p>
    <w:p w14:paraId="170F72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2.按照高新技术培育企业评分标准进行逐项打分，总分在50分以上；</w:t>
      </w:r>
    </w:p>
    <w:p w14:paraId="522E19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（1）企业成长性（30分）</w:t>
      </w:r>
    </w:p>
    <w:p w14:paraId="7656A6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（2）科技人员占企业职工总数比值（30分）</w:t>
      </w:r>
    </w:p>
    <w:p w14:paraId="11A8CF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（3）研发投入指标（20分）</w:t>
      </w:r>
    </w:p>
    <w:p w14:paraId="2C91F0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（4）科技成果指标（20分）</w:t>
      </w:r>
    </w:p>
    <w:p w14:paraId="2B3B06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（5）企业主体情况（20分）</w:t>
      </w:r>
    </w:p>
    <w:p w14:paraId="57C833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3.企业未取得过高新技术企业认定；</w:t>
      </w:r>
    </w:p>
    <w:p w14:paraId="123357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4.高新技术培育企业采用动态管理，市科技局每年公布当年有效高新技术培育企业名单，每家企业培育期最长三年，企业成功申报高新技术企业并通过形式审查后自然失效。</w:t>
      </w:r>
    </w:p>
    <w:p w14:paraId="144C7D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（二）浙江省科技中小企业</w:t>
      </w:r>
    </w:p>
    <w:p w14:paraId="2FD523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指根据《浙江省科技型中小企业认定管理办法》（浙科发高〔2016〕88号）申报认定，浙江省科学技术厅公布的浙江省科技型中小企业备案名单中的我市企业。</w:t>
      </w:r>
    </w:p>
    <w:p w14:paraId="446910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三、补助政策</w:t>
      </w:r>
    </w:p>
    <w:p w14:paraId="096066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（一）高新技术培育企业在高新技术企业创建过程中在科技型中小企业服务站购买的规范记账、专项审计、申报辅导等服务，可按照服务总费用的</w:t>
      </w:r>
      <w:r>
        <w:rPr>
          <w:rFonts w:hint="eastAsia" w:ascii="仿宋_GB2312" w:hAnsi="仿宋_GB2312" w:eastAsia="仿宋_GB2312" w:cs="仿宋_GB2312"/>
          <w:color w:val="auto"/>
          <w:sz w:val="32"/>
          <w:szCs w:val="32"/>
          <w:u w:val="none"/>
          <w:lang w:val="en-US" w:eastAsia="zh-CN"/>
        </w:rPr>
        <w:t>90%</w:t>
      </w:r>
      <w:r>
        <w:rPr>
          <w:rFonts w:hint="default" w:ascii="仿宋_GB2312" w:hAnsi="仿宋_GB2312" w:eastAsia="仿宋_GB2312" w:cs="仿宋_GB2312"/>
          <w:sz w:val="32"/>
          <w:szCs w:val="32"/>
          <w:lang w:val="en-US" w:eastAsia="zh-CN"/>
        </w:rPr>
        <w:t>予以奖补。培育期内，同一企业奖补额度最高不超过</w:t>
      </w: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万元。</w:t>
      </w:r>
    </w:p>
    <w:p w14:paraId="28A618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（二）浙江省科技型中小企业每家给予1万元的奖励，其中在备案名单公布后拨付0.5万元奖励，在“科技企业成长在线”报送上一年度发展情况报表后拨付0.5万元奖励。</w:t>
      </w:r>
    </w:p>
    <w:p w14:paraId="1F219B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四、审核和兑现</w:t>
      </w:r>
    </w:p>
    <w:p w14:paraId="2ED100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（一）高新技术培育企业入库</w:t>
      </w:r>
    </w:p>
    <w:p w14:paraId="021D6C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1.企业登录慈溪市科技计划项目申报管理系统申请，填写提交慈溪市高新技术培育企业申请书，并上传相关附件佐证材料，报镇（街道、园区）</w:t>
      </w:r>
      <w:r>
        <w:rPr>
          <w:rFonts w:hint="eastAsia" w:ascii="仿宋_GB2312" w:hAnsi="仿宋_GB2312" w:eastAsia="仿宋_GB2312" w:cs="仿宋_GB2312"/>
          <w:sz w:val="32"/>
          <w:szCs w:val="32"/>
          <w:u w:val="none"/>
          <w:lang w:val="en-US" w:eastAsia="zh-CN"/>
        </w:rPr>
        <w:t>备案</w:t>
      </w:r>
      <w:r>
        <w:rPr>
          <w:rFonts w:hint="default" w:ascii="仿宋_GB2312" w:hAnsi="仿宋_GB2312" w:eastAsia="仿宋_GB2312" w:cs="仿宋_GB2312"/>
          <w:sz w:val="32"/>
          <w:szCs w:val="32"/>
          <w:lang w:val="en-US" w:eastAsia="zh-CN"/>
        </w:rPr>
        <w:t>；</w:t>
      </w:r>
    </w:p>
    <w:p w14:paraId="765420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2.镇（街道、园区）对照基本条件进行初审，填写拟入库高新技术培育企业汇总表，盖章后报送市科技局；</w:t>
      </w:r>
    </w:p>
    <w:p w14:paraId="7CEA0E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3.市科技局根据申报材料进行复核打分，对满足申报条件的企业经公示无异议后予以入库培育。</w:t>
      </w:r>
    </w:p>
    <w:p w14:paraId="4D7600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（二）浙江省科技中小企业备案认定</w:t>
      </w:r>
    </w:p>
    <w:p w14:paraId="10CFC8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1.注册登记。在我市内注册的有研究开发活动的居民企业，可用浙江省</w:t>
      </w:r>
      <w:r>
        <w:rPr>
          <w:rFonts w:hint="eastAsia" w:ascii="仿宋_GB2312" w:hAnsi="仿宋_GB2312" w:eastAsia="仿宋_GB2312" w:cs="仿宋_GB2312"/>
          <w:sz w:val="32"/>
          <w:szCs w:val="32"/>
          <w:lang w:val="en-US" w:eastAsia="zh-CN"/>
        </w:rPr>
        <w:t>政务</w:t>
      </w:r>
      <w:r>
        <w:rPr>
          <w:rFonts w:hint="default" w:ascii="仿宋_GB2312" w:hAnsi="仿宋_GB2312" w:eastAsia="仿宋_GB2312" w:cs="仿宋_GB2312"/>
          <w:sz w:val="32"/>
          <w:szCs w:val="32"/>
          <w:lang w:val="en-US" w:eastAsia="zh-CN"/>
        </w:rPr>
        <w:t>服务网法人账户在“企业研发服务在线（网址：https://qyyffw.kjt.zj.gov.cn/fwzxpc/）”登录，无法人账户的需先注册法人账户。</w:t>
      </w:r>
    </w:p>
    <w:p w14:paraId="6F9610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自主申报。采取常年受理，分批认定，截止时间分别为4月30日、6月30日、8月31日、10月31日、11月30日。注册成功的企业网上填报申请书，上传相关的附件材料扫描版，并将申报材料提交至慈溪市科学技术局。企业对所填报信息和上传文件的准确性、真实性、合法性、有效性承担有关法律责任。</w:t>
      </w:r>
    </w:p>
    <w:p w14:paraId="60087E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3.审核上报。市科技局对申报材料进行审查核实，并将符合认定条件的企业在申报系统提交。</w:t>
      </w:r>
    </w:p>
    <w:p w14:paraId="5C9C54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认定资格。符合认定条件的企业上报省科技厅备案浙江省科技型中小企业，同时认定为宁波市科技型中小企业。省科技厅印发浙江省科技型中小企业备案清单，核发统一印制的“浙江省科技型中小企业”证书。企业可登录企业研发服务在线平台，预览、下载科技型中小企业证书。</w:t>
      </w:r>
    </w:p>
    <w:p w14:paraId="598E53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（三）浙江省科技中小企业发展情况报表</w:t>
      </w:r>
    </w:p>
    <w:p w14:paraId="3799EC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1.使用政务服务法人网账号，登录[科技企业成长在线]平台（网址：https://qyyffw.kjt.zj.gov.cn/fwzxpc/）。点击[法人登录]跳转至浙江政务服务网进行登录，进入[企业培育]页面，点击[科技型中小企业]入口。</w:t>
      </w:r>
    </w:p>
    <w:p w14:paraId="2B238D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2.选择[浙江省科技型中小企业]，进入认定管理页面。点击[年度报表]按钮，进入科技型中小企业年度报表填报页面。</w:t>
      </w:r>
    </w:p>
    <w:p w14:paraId="13A358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3.点击左边菜单栏中的[动态数据（年报）]按钮，出现“信息完善”内容。完善企业所属技术领域（3级）、所属行业类别（4级）及企业所在地（4级）信息并保存，确保没有遗漏。</w:t>
      </w:r>
    </w:p>
    <w:p w14:paraId="77F62A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4.点击[开始填报年报]按钮，进入填报年报界面。在填报页面，将箭头放在某个指标上时，会弹出指标解释。</w:t>
      </w:r>
    </w:p>
    <w:p w14:paraId="090727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5.填报完成后，点击[保存计算审核]按钮，再点击[上报数据]即可，科小企业年报以上报为准。</w:t>
      </w:r>
    </w:p>
    <w:p w14:paraId="114306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（四）兑现流程</w:t>
      </w:r>
    </w:p>
    <w:p w14:paraId="190AF8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default" w:ascii="仿宋_GB2312" w:hAnsi="仿宋_GB2312" w:eastAsia="仿宋_GB2312" w:cs="仿宋_GB2312"/>
          <w:sz w:val="32"/>
          <w:szCs w:val="32"/>
          <w:lang w:val="en-US" w:eastAsia="zh-CN"/>
        </w:rPr>
        <w:t>1.市科技局公布当年有效高新技术培育企业名单，同高新技术企业认定管理工作网有效提交数据进行比较，形成企业服务机构清单，市科技型中小企业服务站汇总提交兑付申请，并提供服务清单内服务协议（合同）复印件、服务结果凭证、付款凭证和发票等相关资料</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u w:val="none"/>
          <w:lang w:val="en-US" w:eastAsia="zh-CN"/>
        </w:rPr>
        <w:t>其中付款凭证可容缺兑付，在资金兑付后1个月内补充提交；</w:t>
      </w:r>
    </w:p>
    <w:p w14:paraId="0DEB35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2.浙江省科技型中小企业由认定文件及报表名单进行比对；</w:t>
      </w:r>
    </w:p>
    <w:p w14:paraId="30658B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3.市科技局对核定补助额度在网上进行7天的公示，经征询意见和公示无异议后，市科技局、市财政局联合发文并拨付奖补资金至相关企业。</w:t>
      </w:r>
    </w:p>
    <w:p w14:paraId="2491E7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br w:type="page"/>
      </w:r>
    </w:p>
    <w:p w14:paraId="0BD4F61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p>
    <w:p w14:paraId="0AA70CA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0AF17C5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2024年企业研发机构建设实施细则</w:t>
      </w:r>
    </w:p>
    <w:p w14:paraId="151505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1BB64F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一、奖励对象</w:t>
      </w:r>
    </w:p>
    <w:p w14:paraId="7E149A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（一）2024年认定的慈溪市企业研发机构；</w:t>
      </w:r>
    </w:p>
    <w:p w14:paraId="58F968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（二）2024年认定的宁波市企业技术研究中心。</w:t>
      </w:r>
    </w:p>
    <w:p w14:paraId="1909F9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二、认定标准</w:t>
      </w:r>
    </w:p>
    <w:p w14:paraId="4D3F32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（一）慈溪市企业研发机构</w:t>
      </w:r>
    </w:p>
    <w:p w14:paraId="2A2B46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1.在我市范围内注册登记并具有独立法人资格的企业；</w:t>
      </w:r>
    </w:p>
    <w:p w14:paraId="1D7533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2.具有独立的研发场地，面积不低于45平方米；</w:t>
      </w:r>
    </w:p>
    <w:p w14:paraId="2448FB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3.具有固定的研发设备，包括研究开发仪器及检测设备等，设备原值不低于30万元；</w:t>
      </w:r>
    </w:p>
    <w:p w14:paraId="2EA8B6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4.具有专业的研发团队，具有大专以上学历或中级以上职称的专职研发人员不少于3人或占上年度月平均职工人数的10%以上，对有3年以上项目研发经验的专业技术人员可适当放宽学历、职称要求；</w:t>
      </w:r>
    </w:p>
    <w:p w14:paraId="7ECB4E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5.组织研究开发活动，围绕主要产品技术领域实施的研发项目或新技术新工艺成果产业化应用项目不少于3个；</w:t>
      </w:r>
    </w:p>
    <w:p w14:paraId="2CB977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6.开展研发费用规范记账，企业上年度及当年度申报前最近季度的季报中均有研究开发费用反映。</w:t>
      </w:r>
    </w:p>
    <w:p w14:paraId="206230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（二）宁波市企业技术研究中心</w:t>
      </w:r>
    </w:p>
    <w:p w14:paraId="4850FA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1.属于我市新材料、工业互联网、关键核心基础件三大科创高地、十大标志性产业链及大农业产业等重要领域或重点发展的支柱产业、主导产业和高新技术产业领域；</w:t>
      </w:r>
    </w:p>
    <w:p w14:paraId="3C9155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2.建有慈溪市企业研发机构；</w:t>
      </w:r>
    </w:p>
    <w:p w14:paraId="1BD4E8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3.在本市注册1年以上，具有独立法人资格的高新技术企业（农业类企业不作高新技术企业资质要求）；</w:t>
      </w:r>
    </w:p>
    <w:p w14:paraId="58C509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4.企业具有较高的研发投入，申报上年度研究开发费用（不含委托外部研发费用，下同）占销售收入比重符合以下要求：</w:t>
      </w:r>
    </w:p>
    <w:p w14:paraId="304E00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（1）销售收入小于5000万元的，不低于5%（软件和信息技术服务业企业、医药制造业企业的比例不低于6%，农业类企业的比例不低于3%），且研究开发费用不低于50万元；</w:t>
      </w:r>
    </w:p>
    <w:p w14:paraId="18681B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（2）销售收入5000万元至20000万元的，不低于4%（软件和信息技术服务业企业、医药制造业企业的比例不低于5%，农业类企业的比例不低于3%），且研究开发费用不低于250万元；</w:t>
      </w:r>
    </w:p>
    <w:p w14:paraId="173B33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（3）销售收入20000万元以上的，不低于3%（软件和信息技术服务业企业、医药制造业企业的比例不低于4%，农业类企业的比例不低于3%），且研究开发费用不低于800万元。</w:t>
      </w:r>
    </w:p>
    <w:p w14:paraId="486CB3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5.有相对独立的研发机构，专职研发人员不少于15人（软件类企业不少于30人，农业类企业不少于5人），且占企业当年职工总数的比例不低于10%；具有专科以上学历或中级以上职称的研发人员不低于研发机构职工总数的30％；</w:t>
      </w:r>
    </w:p>
    <w:p w14:paraId="4CFD18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6.具有开展研发活动所必需的硬件条件，其中固定研发场地面积不少于400平方米，研发仪器设备原值总额不低于200万元（软件类企业50万元以上）；科研生产共用的设备原值不超过科研设备原值总额的30%（科研生产共用的设备原值按30%比例计入科研设备原值）；</w:t>
      </w:r>
    </w:p>
    <w:p w14:paraId="30ADF7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7.近三年内通过自主研发、受让、受赠、并购、独占许可等方式，在其申报领域拥有1件以上发明专利（含国防专利）、植物新品种、国家级农作物品种、国家新药、国家一级中药保护品种、集成电路布图设计专有权，或6件以上实用新型专利、外观设计专利、软件著作权等（不含商标）自主知识产权；</w:t>
      </w:r>
    </w:p>
    <w:p w14:paraId="326995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8.近三年累计转化科技成果不少于6项（农业类企业不少于2项）；</w:t>
      </w:r>
    </w:p>
    <w:p w14:paraId="4A6F8F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9.企业技术研发中心组织体系完善，具备研究开发项目立项报告、研究开发投入核算体系、研究开发人员绩效考核奖励等制度；</w:t>
      </w:r>
    </w:p>
    <w:p w14:paraId="72FE15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10.企业申请认定前一年度至申请之日期间未发生重大的安全、质量事故，严重的环境违法、知识产权违法、税务违法、科研失信等行为。</w:t>
      </w:r>
    </w:p>
    <w:p w14:paraId="7E30A5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国家和省级引才工程、市甬江人才工程等重点科技人才创办的企业，成立年限少于三年的，对企业销售收入、研发场地面积、科研设备原值、高新技术企业资质等要求可根据实际情况适当放宽。</w:t>
      </w:r>
    </w:p>
    <w:p w14:paraId="3D870F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三、奖励政策</w:t>
      </w:r>
    </w:p>
    <w:p w14:paraId="754FD7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1.对当年认定的慈溪市企业研发机构给予3万元奖励；</w:t>
      </w:r>
    </w:p>
    <w:p w14:paraId="7A2149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2.对当年新认定的宁波市企业技术研究中心，给予10万元晋级奖励。</w:t>
      </w:r>
    </w:p>
    <w:p w14:paraId="13856E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四、审核和兑现</w:t>
      </w:r>
    </w:p>
    <w:p w14:paraId="06F648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（一）慈溪市企业研发机构</w:t>
      </w:r>
    </w:p>
    <w:p w14:paraId="4E1259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申请认定备案企业，登录慈溪市科技计划项目申报管理系统填写提交《慈溪市企业研发机构备案表》，并上传相关附件佐证材料，包括经企业、科研院所、镇（街道、产业园区）盖章的备案表扫描件、《慈溪市企业研发机构建设方案》、年度企业所得税纳税申报表、年度审计报告或者加盖公章的年度</w:t>
      </w:r>
      <w:r>
        <w:rPr>
          <w:rFonts w:hint="eastAsia" w:ascii="仿宋_GB2312" w:hAnsi="仿宋_GB2312" w:eastAsia="仿宋_GB2312" w:cs="仿宋_GB2312"/>
          <w:sz w:val="32"/>
          <w:szCs w:val="32"/>
          <w:u w:val="none"/>
          <w:lang w:val="en-US" w:eastAsia="zh-CN"/>
        </w:rPr>
        <w:t>（季度）企业财务报表，并附企业专职研发人员劳动合同、学历学位证书、社保缴纳记录或个税申报记录、企业研发设备清单、购置发票及设备照片、研发项目清单等</w:t>
      </w:r>
      <w:r>
        <w:rPr>
          <w:rFonts w:hint="default" w:ascii="仿宋_GB2312" w:hAnsi="仿宋_GB2312" w:eastAsia="仿宋_GB2312" w:cs="仿宋_GB2312"/>
          <w:sz w:val="32"/>
          <w:szCs w:val="32"/>
          <w:lang w:val="en-US" w:eastAsia="zh-CN"/>
        </w:rPr>
        <w:t>。相关材料在线填写完整后，报镇（街道、产业园区）审核。</w:t>
      </w:r>
    </w:p>
    <w:p w14:paraId="3B12DA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2.镇（街道、产业园区）对照基本条件对</w:t>
      </w:r>
      <w:r>
        <w:rPr>
          <w:rFonts w:hint="eastAsia" w:ascii="仿宋_GB2312" w:hAnsi="仿宋_GB2312" w:eastAsia="仿宋_GB2312" w:cs="仿宋_GB2312"/>
          <w:sz w:val="32"/>
          <w:szCs w:val="32"/>
          <w:lang w:val="en-US" w:eastAsia="zh-CN"/>
        </w:rPr>
        <w:t>服务区</w:t>
      </w:r>
      <w:r>
        <w:rPr>
          <w:rFonts w:hint="default" w:ascii="仿宋_GB2312" w:hAnsi="仿宋_GB2312" w:eastAsia="仿宋_GB2312" w:cs="仿宋_GB2312"/>
          <w:sz w:val="32"/>
          <w:szCs w:val="32"/>
          <w:lang w:val="en-US" w:eastAsia="zh-CN"/>
        </w:rPr>
        <w:t>内企业进行审核，填写拟备案研发机构汇总表，将初审推荐结果盖章后报送市科技局。</w:t>
      </w:r>
    </w:p>
    <w:p w14:paraId="4E04E2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3.市科技局下达慈溪市企业研发机构立项文件。</w:t>
      </w:r>
    </w:p>
    <w:p w14:paraId="477CD3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（二）宁波市企业技术研究中心</w:t>
      </w:r>
    </w:p>
    <w:p w14:paraId="5AA62E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1.申报填报。项目实行网上申报，申请企业选择“法人登录”，使用浙江政务网法人账号登录“宁波科技大脑”（https://stbrain.kjj.ningbo.gov.cn/），按要求进行在线填报，上传相关附件。</w:t>
      </w:r>
    </w:p>
    <w:p w14:paraId="76DF74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2.归口审核。市科技局负责对企业申报材料真实性、完整性等情况进行审核。</w:t>
      </w:r>
    </w:p>
    <w:p w14:paraId="77ECC7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3.评审备案。宁波市科技局将组织评审，必要情况下将进行实地考察，研究确定名单后进行公示和备案认定。</w:t>
      </w:r>
    </w:p>
    <w:p w14:paraId="6CC4D7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（三）兑现流程</w:t>
      </w:r>
    </w:p>
    <w:p w14:paraId="7AEC98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1.慈溪市企业研发机构、宁波市企业技术研究中心以当年立项文件为准；</w:t>
      </w:r>
    </w:p>
    <w:p w14:paraId="262096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2.企业研发机构需在“宁波科技大脑”中“研发项目（后补助申请）”模块填报年度研发数据，填报截止时间不晚于为2025年1月31日。当年研发投入强度不足同级认定标准的，不予以补助。</w:t>
      </w:r>
    </w:p>
    <w:p w14:paraId="284959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3.下达的宁波市企业技术研究中心晋级奖励资金不适用补差扣除。</w:t>
      </w:r>
    </w:p>
    <w:p w14:paraId="3A972F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02BF21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670744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5FC8FA7C">
      <w:pPr>
        <w:pStyle w:val="2"/>
        <w:rPr>
          <w:rFonts w:hint="default" w:ascii="仿宋_GB2312" w:hAnsi="仿宋_GB2312" w:eastAsia="仿宋_GB2312" w:cs="仿宋_GB2312"/>
          <w:sz w:val="32"/>
          <w:szCs w:val="32"/>
          <w:lang w:val="en-US" w:eastAsia="zh-CN"/>
        </w:rPr>
      </w:pPr>
    </w:p>
    <w:p w14:paraId="394AB8DC">
      <w:pPr>
        <w:pStyle w:val="5"/>
        <w:rPr>
          <w:rFonts w:hint="default" w:ascii="仿宋_GB2312" w:hAnsi="仿宋_GB2312" w:eastAsia="仿宋_GB2312" w:cs="仿宋_GB2312"/>
          <w:sz w:val="32"/>
          <w:szCs w:val="32"/>
          <w:lang w:val="en-US" w:eastAsia="zh-CN"/>
        </w:rPr>
      </w:pPr>
    </w:p>
    <w:p w14:paraId="3829B11C">
      <w:pPr>
        <w:pStyle w:val="5"/>
        <w:rPr>
          <w:rFonts w:hint="default" w:ascii="仿宋_GB2312" w:hAnsi="仿宋_GB2312" w:eastAsia="仿宋_GB2312" w:cs="仿宋_GB2312"/>
          <w:sz w:val="32"/>
          <w:szCs w:val="32"/>
          <w:lang w:val="en-US" w:eastAsia="zh-CN"/>
        </w:rPr>
      </w:pPr>
    </w:p>
    <w:p w14:paraId="663F43DF">
      <w:pPr>
        <w:pStyle w:val="5"/>
        <w:rPr>
          <w:rFonts w:hint="default" w:ascii="仿宋_GB2312" w:hAnsi="仿宋_GB2312" w:eastAsia="仿宋_GB2312" w:cs="仿宋_GB2312"/>
          <w:sz w:val="32"/>
          <w:szCs w:val="32"/>
          <w:lang w:val="en-US" w:eastAsia="zh-CN"/>
        </w:rPr>
      </w:pPr>
    </w:p>
    <w:p w14:paraId="1667DC3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附件3</w:t>
      </w:r>
    </w:p>
    <w:p w14:paraId="5EF7A453">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方正小标宋简体" w:hAnsi="方正小标宋简体" w:eastAsia="方正小标宋简体" w:cs="方正小标宋简体"/>
          <w:b w:val="0"/>
          <w:bCs w:val="0"/>
          <w:i w:val="0"/>
          <w:iCs w:val="0"/>
          <w:sz w:val="44"/>
          <w:szCs w:val="44"/>
          <w:lang w:val="en-US" w:eastAsia="zh-CN"/>
        </w:rPr>
      </w:pPr>
    </w:p>
    <w:p w14:paraId="1BC6B5D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i w:val="0"/>
          <w:iCs w:val="0"/>
          <w:sz w:val="44"/>
          <w:szCs w:val="44"/>
          <w:lang w:val="en-US" w:eastAsia="zh-CN"/>
        </w:rPr>
      </w:pPr>
      <w:r>
        <w:rPr>
          <w:rFonts w:hint="eastAsia" w:ascii="方正小标宋简体" w:hAnsi="方正小标宋简体" w:eastAsia="方正小标宋简体" w:cs="方正小标宋简体"/>
          <w:b w:val="0"/>
          <w:bCs w:val="0"/>
          <w:i w:val="0"/>
          <w:iCs w:val="0"/>
          <w:sz w:val="44"/>
          <w:szCs w:val="44"/>
          <w:lang w:val="en-US" w:eastAsia="zh-CN"/>
        </w:rPr>
        <w:t>2024年科技创新高质量发展考核实施细则</w:t>
      </w:r>
    </w:p>
    <w:p w14:paraId="3C9EA37D">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p>
    <w:p w14:paraId="373992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一、奖励对象</w:t>
      </w:r>
    </w:p>
    <w:p w14:paraId="301E68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各镇、街道，滨海经济开发区、慈溪智能家电高新技术产业园区和市现代农业开发区。</w:t>
      </w:r>
    </w:p>
    <w:p w14:paraId="13476F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二、认定标准</w:t>
      </w:r>
    </w:p>
    <w:p w14:paraId="1BEAC85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（一）研发投入高质量发展考核</w:t>
      </w:r>
    </w:p>
    <w:p w14:paraId="5AAB2E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1.企业设立慈溪市级及以上企业研发机构或认定为国家、省科技型中小企业；</w:t>
      </w:r>
    </w:p>
    <w:p w14:paraId="3257FA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2.积极配合科技统计工作</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企业应用“宁波科技大脑”－“研发项目（后补助申请）”模块管理2024年研发项目及经费；</w:t>
      </w:r>
    </w:p>
    <w:p w14:paraId="0A3A5B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default" w:ascii="仿宋_GB2312" w:hAnsi="仿宋_GB2312" w:eastAsia="仿宋_GB2312" w:cs="仿宋_GB2312"/>
          <w:sz w:val="32"/>
          <w:szCs w:val="32"/>
          <w:lang w:val="en-US" w:eastAsia="zh-CN"/>
        </w:rPr>
        <w:t>3.对</w:t>
      </w:r>
      <w:r>
        <w:rPr>
          <w:rFonts w:hint="eastAsia" w:ascii="仿宋_GB2312" w:hAnsi="仿宋_GB2312" w:eastAsia="仿宋_GB2312" w:cs="仿宋_GB2312"/>
          <w:sz w:val="32"/>
          <w:szCs w:val="32"/>
          <w:lang w:val="en-US" w:eastAsia="zh-CN"/>
        </w:rPr>
        <w:t>2024</w:t>
      </w:r>
      <w:r>
        <w:rPr>
          <w:rFonts w:hint="default" w:ascii="仿宋_GB2312" w:hAnsi="仿宋_GB2312" w:eastAsia="仿宋_GB2312" w:cs="仿宋_GB2312"/>
          <w:sz w:val="32"/>
          <w:szCs w:val="32"/>
          <w:lang w:val="en-US" w:eastAsia="zh-CN"/>
        </w:rPr>
        <w:t>年研发投入部门取数（</w:t>
      </w:r>
      <w:r>
        <w:rPr>
          <w:rFonts w:hint="eastAsia" w:ascii="仿宋_GB2312" w:hAnsi="仿宋_GB2312" w:eastAsia="仿宋_GB2312" w:cs="仿宋_GB2312"/>
          <w:sz w:val="32"/>
          <w:szCs w:val="32"/>
          <w:lang w:val="en-US" w:eastAsia="zh-CN"/>
        </w:rPr>
        <w:t>12</w:t>
      </w:r>
      <w:r>
        <w:rPr>
          <w:rFonts w:hint="default" w:ascii="仿宋_GB2312" w:hAnsi="仿宋_GB2312" w:eastAsia="仿宋_GB2312" w:cs="仿宋_GB2312"/>
          <w:sz w:val="32"/>
          <w:szCs w:val="32"/>
          <w:lang w:val="en-US" w:eastAsia="zh-CN"/>
        </w:rPr>
        <w:t>月份规模以上工业统计报表）的研发费用占营业收入比重3%以上企业，满足下表中研发费用同比增速或研发投入占营业收入比重要求之一的</w:t>
      </w:r>
      <w:r>
        <w:rPr>
          <w:rFonts w:hint="eastAsia" w:ascii="仿宋_GB2312" w:hAnsi="仿宋_GB2312" w:eastAsia="仿宋_GB2312" w:cs="仿宋_GB2312"/>
          <w:sz w:val="32"/>
          <w:szCs w:val="32"/>
          <w:u w:val="none"/>
          <w:lang w:val="en-US" w:eastAsia="zh-CN"/>
        </w:rPr>
        <w:t>。2024年年报首次反映研发费用的规上企业，对研发费用增速及占比均不作要求。</w:t>
      </w:r>
    </w:p>
    <w:tbl>
      <w:tblPr>
        <w:tblStyle w:val="16"/>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83"/>
        <w:gridCol w:w="1581"/>
        <w:gridCol w:w="1912"/>
        <w:gridCol w:w="1850"/>
      </w:tblGrid>
      <w:tr w14:paraId="3F3FEB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183" w:type="dxa"/>
            <w:vAlign w:val="top"/>
          </w:tcPr>
          <w:p w14:paraId="0287FA4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研发费用区间</w:t>
            </w:r>
          </w:p>
        </w:tc>
        <w:tc>
          <w:tcPr>
            <w:tcW w:w="1581" w:type="dxa"/>
            <w:vAlign w:val="top"/>
          </w:tcPr>
          <w:p w14:paraId="070D43F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＞600万元</w:t>
            </w:r>
          </w:p>
        </w:tc>
        <w:tc>
          <w:tcPr>
            <w:tcW w:w="1912" w:type="dxa"/>
            <w:vAlign w:val="top"/>
          </w:tcPr>
          <w:p w14:paraId="50C3FA7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200万-600万</w:t>
            </w:r>
          </w:p>
        </w:tc>
        <w:tc>
          <w:tcPr>
            <w:tcW w:w="1850" w:type="dxa"/>
            <w:vAlign w:val="top"/>
          </w:tcPr>
          <w:p w14:paraId="54F602C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&lt;200万</w:t>
            </w:r>
          </w:p>
        </w:tc>
      </w:tr>
      <w:tr w14:paraId="79AA1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3183" w:type="dxa"/>
            <w:vAlign w:val="top"/>
          </w:tcPr>
          <w:p w14:paraId="1EF12E5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研发费用同比增速</w:t>
            </w:r>
          </w:p>
        </w:tc>
        <w:tc>
          <w:tcPr>
            <w:tcW w:w="1581" w:type="dxa"/>
            <w:vAlign w:val="top"/>
          </w:tcPr>
          <w:p w14:paraId="2470035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同比增长</w:t>
            </w:r>
          </w:p>
        </w:tc>
        <w:tc>
          <w:tcPr>
            <w:tcW w:w="1912" w:type="dxa"/>
            <w:vAlign w:val="top"/>
          </w:tcPr>
          <w:p w14:paraId="13B2987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同比增长10%</w:t>
            </w:r>
          </w:p>
        </w:tc>
        <w:tc>
          <w:tcPr>
            <w:tcW w:w="1850" w:type="dxa"/>
            <w:vAlign w:val="top"/>
          </w:tcPr>
          <w:p w14:paraId="7BA998E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同比增长15%</w:t>
            </w:r>
          </w:p>
        </w:tc>
      </w:tr>
      <w:tr w14:paraId="021AB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183" w:type="dxa"/>
            <w:vAlign w:val="top"/>
          </w:tcPr>
          <w:p w14:paraId="0A43661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研发费用占营业收入比重</w:t>
            </w:r>
          </w:p>
        </w:tc>
        <w:tc>
          <w:tcPr>
            <w:tcW w:w="1581" w:type="dxa"/>
            <w:vAlign w:val="top"/>
          </w:tcPr>
          <w:p w14:paraId="447D618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提升0.3%</w:t>
            </w:r>
          </w:p>
        </w:tc>
        <w:tc>
          <w:tcPr>
            <w:tcW w:w="1912" w:type="dxa"/>
            <w:vAlign w:val="top"/>
          </w:tcPr>
          <w:p w14:paraId="1879AAC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提升0.5%</w:t>
            </w:r>
          </w:p>
        </w:tc>
        <w:tc>
          <w:tcPr>
            <w:tcW w:w="1850" w:type="dxa"/>
            <w:vAlign w:val="top"/>
          </w:tcPr>
          <w:p w14:paraId="7F23E44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提升0.8%</w:t>
            </w:r>
          </w:p>
        </w:tc>
      </w:tr>
    </w:tbl>
    <w:p w14:paraId="3F56C68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（二）申报国家、省（宁波）重大科技创新项目</w:t>
      </w:r>
    </w:p>
    <w:p w14:paraId="25484A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对</w:t>
      </w:r>
      <w:r>
        <w:rPr>
          <w:rFonts w:hint="eastAsia" w:ascii="仿宋_GB2312" w:hAnsi="仿宋_GB2312" w:eastAsia="仿宋_GB2312" w:cs="仿宋_GB2312"/>
          <w:sz w:val="32"/>
          <w:szCs w:val="32"/>
          <w:lang w:val="en-US" w:eastAsia="zh-CN"/>
        </w:rPr>
        <w:t>2024</w:t>
      </w:r>
      <w:r>
        <w:rPr>
          <w:rFonts w:hint="default" w:ascii="仿宋_GB2312" w:hAnsi="仿宋_GB2312" w:eastAsia="仿宋_GB2312" w:cs="仿宋_GB2312"/>
          <w:sz w:val="32"/>
          <w:szCs w:val="32"/>
          <w:lang w:val="en-US" w:eastAsia="zh-CN"/>
        </w:rPr>
        <w:t>年申报国家、省（宁波）重大科技创新项目的研发团队前三位核心成员，按在我市范围内注册登记并具有独立法人资格的企业计算补助金额。</w:t>
      </w:r>
    </w:p>
    <w:p w14:paraId="54768C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1.国家重大科技创新项目包括</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国家自然科学基金、国家重点研发计划；</w:t>
      </w:r>
    </w:p>
    <w:p w14:paraId="59C3FF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2.浙江省重大科技创新项目包括：省重大科技计划（省</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尖兵</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领雁</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项目）、省基础研究计划、省重点行业领域科技计划、省地协同项目等省科技计划项目。</w:t>
      </w:r>
    </w:p>
    <w:p w14:paraId="267429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3.宁波市重大科技创新项目包括</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宁波市“科创甬江2035”计划（含“战略协同创新”“关键技术突破”“科创生态育成”“重大应用示范”项目）</w:t>
      </w:r>
    </w:p>
    <w:p w14:paraId="550F4F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三、奖励政策</w:t>
      </w:r>
    </w:p>
    <w:p w14:paraId="55CA59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每家符合研发投入高质量发展的企业奖励3000元，符合研发团队前三位核心成员按如下表格进行计算。</w:t>
      </w:r>
    </w:p>
    <w:tbl>
      <w:tblPr>
        <w:tblStyle w:val="16"/>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83"/>
        <w:gridCol w:w="1581"/>
        <w:gridCol w:w="1912"/>
        <w:gridCol w:w="1850"/>
      </w:tblGrid>
      <w:tr w14:paraId="02609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183" w:type="dxa"/>
            <w:vAlign w:val="top"/>
          </w:tcPr>
          <w:p w14:paraId="331B04C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项目核心人员排名</w:t>
            </w:r>
          </w:p>
        </w:tc>
        <w:tc>
          <w:tcPr>
            <w:tcW w:w="1581" w:type="dxa"/>
            <w:vAlign w:val="top"/>
          </w:tcPr>
          <w:p w14:paraId="094711A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第一位</w:t>
            </w:r>
          </w:p>
        </w:tc>
        <w:tc>
          <w:tcPr>
            <w:tcW w:w="1912" w:type="dxa"/>
            <w:vAlign w:val="top"/>
          </w:tcPr>
          <w:p w14:paraId="566B50B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第二位</w:t>
            </w:r>
          </w:p>
        </w:tc>
        <w:tc>
          <w:tcPr>
            <w:tcW w:w="1850" w:type="dxa"/>
            <w:vAlign w:val="top"/>
          </w:tcPr>
          <w:p w14:paraId="437F4D8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第三位</w:t>
            </w:r>
          </w:p>
        </w:tc>
      </w:tr>
      <w:tr w14:paraId="55C3A6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3183" w:type="dxa"/>
            <w:vAlign w:val="top"/>
          </w:tcPr>
          <w:p w14:paraId="634781E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国家级</w:t>
            </w:r>
          </w:p>
        </w:tc>
        <w:tc>
          <w:tcPr>
            <w:tcW w:w="1581" w:type="dxa"/>
            <w:vAlign w:val="top"/>
          </w:tcPr>
          <w:p w14:paraId="100C412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12000元</w:t>
            </w:r>
          </w:p>
        </w:tc>
        <w:tc>
          <w:tcPr>
            <w:tcW w:w="1912" w:type="dxa"/>
            <w:vAlign w:val="top"/>
          </w:tcPr>
          <w:p w14:paraId="0CB7A37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8000元</w:t>
            </w:r>
          </w:p>
        </w:tc>
        <w:tc>
          <w:tcPr>
            <w:tcW w:w="1850" w:type="dxa"/>
            <w:vAlign w:val="top"/>
          </w:tcPr>
          <w:p w14:paraId="13BC4B2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4000元</w:t>
            </w:r>
          </w:p>
        </w:tc>
      </w:tr>
      <w:tr w14:paraId="16791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3183" w:type="dxa"/>
            <w:vAlign w:val="top"/>
          </w:tcPr>
          <w:p w14:paraId="70BFBE3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浙江省级</w:t>
            </w:r>
          </w:p>
        </w:tc>
        <w:tc>
          <w:tcPr>
            <w:tcW w:w="1581" w:type="dxa"/>
            <w:vAlign w:val="top"/>
          </w:tcPr>
          <w:p w14:paraId="4D4C58B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6000元</w:t>
            </w:r>
          </w:p>
        </w:tc>
        <w:tc>
          <w:tcPr>
            <w:tcW w:w="1912" w:type="dxa"/>
            <w:vAlign w:val="top"/>
          </w:tcPr>
          <w:p w14:paraId="5E15A2B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4000元</w:t>
            </w:r>
          </w:p>
        </w:tc>
        <w:tc>
          <w:tcPr>
            <w:tcW w:w="1850" w:type="dxa"/>
            <w:vAlign w:val="top"/>
          </w:tcPr>
          <w:p w14:paraId="084A379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2000元</w:t>
            </w:r>
          </w:p>
        </w:tc>
      </w:tr>
      <w:tr w14:paraId="67E53F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183" w:type="dxa"/>
            <w:vAlign w:val="top"/>
          </w:tcPr>
          <w:p w14:paraId="70D155E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宁波市级</w:t>
            </w:r>
          </w:p>
        </w:tc>
        <w:tc>
          <w:tcPr>
            <w:tcW w:w="1581" w:type="dxa"/>
            <w:vAlign w:val="top"/>
          </w:tcPr>
          <w:p w14:paraId="236C3B8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3000元</w:t>
            </w:r>
          </w:p>
        </w:tc>
        <w:tc>
          <w:tcPr>
            <w:tcW w:w="1912" w:type="dxa"/>
            <w:vAlign w:val="top"/>
          </w:tcPr>
          <w:p w14:paraId="7F2771D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2000元</w:t>
            </w:r>
          </w:p>
        </w:tc>
        <w:tc>
          <w:tcPr>
            <w:tcW w:w="1850" w:type="dxa"/>
            <w:vAlign w:val="top"/>
          </w:tcPr>
          <w:p w14:paraId="10D84FE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仿宋_GB2312" w:hAnsi="仿宋_GB2312" w:eastAsia="仿宋_GB2312" w:cs="仿宋_GB2312"/>
                <w:sz w:val="28"/>
                <w:szCs w:val="28"/>
                <w:lang w:val="en-US" w:eastAsia="zh-CN"/>
              </w:rPr>
            </w:pPr>
            <w:r>
              <w:rPr>
                <w:rFonts w:hint="default" w:ascii="仿宋_GB2312" w:hAnsi="仿宋_GB2312" w:eastAsia="仿宋_GB2312" w:cs="仿宋_GB2312"/>
                <w:sz w:val="28"/>
                <w:szCs w:val="28"/>
                <w:lang w:val="en-US" w:eastAsia="zh-CN"/>
              </w:rPr>
              <w:t>1000元</w:t>
            </w:r>
          </w:p>
        </w:tc>
      </w:tr>
    </w:tbl>
    <w:p w14:paraId="60B5FD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单家企业奖励可累计计算，各镇（街道、园区）按企业属地汇总测算奖励金额，合计奖励总额不超过</w:t>
      </w:r>
      <w:r>
        <w:rPr>
          <w:rFonts w:hint="eastAsia" w:ascii="仿宋_GB2312" w:hAnsi="仿宋_GB2312" w:eastAsia="仿宋_GB2312" w:cs="仿宋_GB2312"/>
          <w:sz w:val="32"/>
          <w:szCs w:val="32"/>
          <w:lang w:val="en-US" w:eastAsia="zh-CN"/>
        </w:rPr>
        <w:t>300</w:t>
      </w:r>
      <w:r>
        <w:rPr>
          <w:rFonts w:hint="default" w:ascii="仿宋_GB2312" w:hAnsi="仿宋_GB2312" w:eastAsia="仿宋_GB2312" w:cs="仿宋_GB2312"/>
          <w:sz w:val="32"/>
          <w:szCs w:val="32"/>
          <w:lang w:val="en-US" w:eastAsia="zh-CN"/>
        </w:rPr>
        <w:t>万元。</w:t>
      </w:r>
    </w:p>
    <w:p w14:paraId="29DAA2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四、审核和兑现</w:t>
      </w:r>
    </w:p>
    <w:p w14:paraId="3BCF1D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（一）研发投入高质量发展考核</w:t>
      </w:r>
    </w:p>
    <w:p w14:paraId="58726C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1.企业申请资料通过慈溪市科技管理信息系统上报并经镇（街道、园区）审核，在申报截止前完成“宁波科技大脑”、规模以上工业统计报表录入。</w:t>
      </w:r>
    </w:p>
    <w:p w14:paraId="4F2232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2.镇（街道、园区）负责对</w:t>
      </w:r>
      <w:r>
        <w:rPr>
          <w:rFonts w:hint="eastAsia" w:ascii="仿宋_GB2312" w:hAnsi="仿宋_GB2312" w:eastAsia="仿宋_GB2312" w:cs="仿宋_GB2312"/>
          <w:sz w:val="32"/>
          <w:szCs w:val="32"/>
          <w:lang w:val="en-US" w:eastAsia="zh-CN"/>
        </w:rPr>
        <w:t>服务区</w:t>
      </w:r>
      <w:r>
        <w:rPr>
          <w:rFonts w:hint="default" w:ascii="仿宋_GB2312" w:hAnsi="仿宋_GB2312" w:eastAsia="仿宋_GB2312" w:cs="仿宋_GB2312"/>
          <w:sz w:val="32"/>
          <w:szCs w:val="32"/>
          <w:lang w:val="en-US" w:eastAsia="zh-CN"/>
        </w:rPr>
        <w:t>内企业进行基本条件审核，在系统内初审合格后，推荐上报</w:t>
      </w:r>
      <w:r>
        <w:rPr>
          <w:rFonts w:hint="eastAsia" w:ascii="仿宋_GB2312" w:hAnsi="仿宋_GB2312" w:eastAsia="仿宋_GB2312" w:cs="仿宋_GB2312"/>
          <w:sz w:val="32"/>
          <w:szCs w:val="32"/>
          <w:lang w:val="en-US" w:eastAsia="zh-CN"/>
        </w:rPr>
        <w:t>。</w:t>
      </w:r>
    </w:p>
    <w:p w14:paraId="19AE2C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3.研发投入高质量发展考核通过调取“宁波科技大脑”2024年企业项目及经费数据，并结合相关部门反馈意见对企业申报数据进行复核，核定补助的企业及金额。</w:t>
      </w:r>
    </w:p>
    <w:p w14:paraId="68CFD4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（二）申报国家、省（宁波）重大科技创新项目</w:t>
      </w:r>
    </w:p>
    <w:p w14:paraId="3D6ECB0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申报国家、省（宁波）重大科技创新项目以国家、省（宁波）科技项目管理平台提交数据为准，同一项目按“就高不重复”原则进行奖励。</w:t>
      </w:r>
    </w:p>
    <w:p w14:paraId="7A7B43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（三）兑现流程</w:t>
      </w:r>
    </w:p>
    <w:p w14:paraId="1AFF5D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市科技局对核定奖励企业名单在网上进行7天的公示，经征询意见和公示无异议后，市科技局、市财政局联合发文并拨付奖励资金至各镇（街道、园区）。</w:t>
      </w:r>
    </w:p>
    <w:p w14:paraId="7B328A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sectPr>
          <w:footerReference r:id="rId3" w:type="default"/>
          <w:pgSz w:w="11906" w:h="16839"/>
          <w:pgMar w:top="2098" w:right="1474" w:bottom="1984" w:left="1587" w:header="0" w:footer="964" w:gutter="0"/>
          <w:pgNumType w:fmt="decimal"/>
          <w:cols w:space="720" w:num="1"/>
        </w:sectPr>
      </w:pPr>
    </w:p>
    <w:p w14:paraId="20BD28E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附件4</w:t>
      </w:r>
    </w:p>
    <w:p w14:paraId="1B20B5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14947FA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2024年科技计划项目实施细则</w:t>
      </w:r>
    </w:p>
    <w:p w14:paraId="4D1746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1B59A0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一、补助对象</w:t>
      </w:r>
    </w:p>
    <w:p w14:paraId="0E58F3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承担市科技计划项目，且具有独立法人资格的企事业单位（除全额事业单位外）、集体经济组织及其他具备研发或科技服务能力的单位。</w:t>
      </w:r>
    </w:p>
    <w:p w14:paraId="703921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二、项目支持范围</w:t>
      </w:r>
    </w:p>
    <w:p w14:paraId="057F82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（一）重点研发专项计划</w:t>
      </w:r>
    </w:p>
    <w:p w14:paraId="42CEAF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重点研发专项是指根据全市重点领域、重点产业的科技需求，开展行业共性技术攻关及成果转化，新赛道、新品类、新产品开发，新技术应用、新场景落地，对我市经济社会发展起支撑、引领作用的科技专项计划。</w:t>
      </w:r>
    </w:p>
    <w:p w14:paraId="003A7A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支持范围主要包括：</w:t>
      </w:r>
    </w:p>
    <w:p w14:paraId="6987C9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行业共性技术攻关类：针对行业发展过程中亟需解决的共性技术难题、关键技术问题，支持相关单位开展技术攻关，促进技术成果产业化，项目实施期限一般不超过3年，优先支持企业创新联合体链主型企业承担。</w:t>
      </w:r>
    </w:p>
    <w:p w14:paraId="50AB13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2.新产品开发类：支持鼓励企业开发在技术上具有重大突破、在性能上具有重大改进，具备较大的潜在市场前景和经济效益，在国内处于技术领跑或并跑的创新产品，项目实施期限一般不超过2年。</w:t>
      </w:r>
    </w:p>
    <w:p w14:paraId="3B4C88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3.新场景应用类：针对经济社会发展需求，鼓励支持科技型企业探索新赛道，挖掘新品类，将新技术应用到新产品中，并实现创新产品的产业化，项目实施期限一般不超过2年。</w:t>
      </w:r>
    </w:p>
    <w:p w14:paraId="0A1253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（二）公益类专项计划</w:t>
      </w:r>
    </w:p>
    <w:p w14:paraId="2F88CD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公益性专项计划指根据我市农业农村和社会民生发展需要，支持开展的公共性、社会性、具有明确应用方向与前景的技术研发及成果的推广应用，并对提升我市农业农村发展、社会管理创新和服务民生等社会建设能力具有促进作用的科技专项计划，项目实施期限一般不超过3年。</w:t>
      </w:r>
    </w:p>
    <w:p w14:paraId="483123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支持范围主要包括：</w:t>
      </w:r>
    </w:p>
    <w:p w14:paraId="211AAE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1.农业农村领域：现代种业、绿色生态种养殖、农产品加工与保鲜物流、农产品质量安全、农业资源利用与农业生态保护、农业生物制造、智慧农业与农机装备、美丽乡村系统治理、乡村共同富裕等方面。</w:t>
      </w:r>
    </w:p>
    <w:p w14:paraId="61CB39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2.社会发展领域：人口健康、生态环保、资源环境、食品药品安全、防灾减灾、节能降碳、公共安全、城市治理、文体事业、科学普及</w:t>
      </w:r>
      <w:r>
        <w:rPr>
          <w:rFonts w:hint="eastAsia" w:ascii="仿宋_GB2312" w:hAnsi="仿宋_GB2312" w:eastAsia="仿宋_GB2312" w:cs="仿宋_GB2312"/>
          <w:sz w:val="32"/>
          <w:szCs w:val="32"/>
          <w:lang w:val="en-US" w:eastAsia="zh-CN"/>
        </w:rPr>
        <w:t>、山海协作、东西部扶贫</w:t>
      </w:r>
      <w:r>
        <w:rPr>
          <w:rFonts w:hint="default" w:ascii="仿宋_GB2312" w:hAnsi="仿宋_GB2312" w:eastAsia="仿宋_GB2312" w:cs="仿宋_GB2312"/>
          <w:sz w:val="32"/>
          <w:szCs w:val="32"/>
          <w:lang w:val="en-US" w:eastAsia="zh-CN"/>
        </w:rPr>
        <w:t>等方面。</w:t>
      </w:r>
    </w:p>
    <w:p w14:paraId="7B9010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三、补助政策</w:t>
      </w:r>
    </w:p>
    <w:p w14:paraId="2CB1EC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（一）对当年列入重点研发计划的项目，行业共性技术攻关类最高补助100万元，新产品开发类最高补助50万元，新场景应用类最高补助30万元。</w:t>
      </w:r>
    </w:p>
    <w:p w14:paraId="042A70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1.资助总额在50万元以下的项目，分两批拨付；首批按资助总额的</w:t>
      </w:r>
      <w:r>
        <w:rPr>
          <w:rFonts w:hint="eastAsia" w:ascii="仿宋_GB2312" w:hAnsi="仿宋_GB2312" w:eastAsia="仿宋_GB2312" w:cs="仿宋_GB2312"/>
          <w:sz w:val="32"/>
          <w:szCs w:val="32"/>
          <w:lang w:val="en-US" w:eastAsia="zh-CN"/>
        </w:rPr>
        <w:t>50%</w:t>
      </w:r>
      <w:r>
        <w:rPr>
          <w:rFonts w:hint="default" w:ascii="仿宋_GB2312" w:hAnsi="仿宋_GB2312" w:eastAsia="仿宋_GB2312" w:cs="仿宋_GB2312"/>
          <w:sz w:val="32"/>
          <w:szCs w:val="32"/>
          <w:lang w:val="en-US" w:eastAsia="zh-CN"/>
        </w:rPr>
        <w:t>比例拨付，剩余资金待项目通过验收后拨付。</w:t>
      </w:r>
    </w:p>
    <w:p w14:paraId="134D44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2.资助总额超过50万元（含）的项目，一般分三批拨付；首批按资助总额的</w:t>
      </w:r>
      <w:r>
        <w:rPr>
          <w:rFonts w:hint="eastAsia" w:ascii="仿宋_GB2312" w:hAnsi="仿宋_GB2312" w:eastAsia="仿宋_GB2312" w:cs="仿宋_GB2312"/>
          <w:sz w:val="32"/>
          <w:szCs w:val="32"/>
          <w:lang w:val="en-US" w:eastAsia="zh-CN"/>
        </w:rPr>
        <w:t>40</w:t>
      </w:r>
      <w:r>
        <w:rPr>
          <w:rFonts w:hint="default" w:ascii="仿宋_GB2312" w:hAnsi="仿宋_GB2312" w:eastAsia="仿宋_GB2312" w:cs="仿宋_GB2312"/>
          <w:sz w:val="32"/>
          <w:szCs w:val="32"/>
          <w:lang w:val="en-US" w:eastAsia="zh-CN"/>
        </w:rPr>
        <w:t>%比例拨付；项目通过中期检查后，第二批按资助总额的</w:t>
      </w:r>
      <w:r>
        <w:rPr>
          <w:rFonts w:hint="eastAsia" w:ascii="仿宋_GB2312" w:hAnsi="仿宋_GB2312" w:eastAsia="仿宋_GB2312" w:cs="仿宋_GB2312"/>
          <w:sz w:val="32"/>
          <w:szCs w:val="32"/>
          <w:lang w:val="en-US" w:eastAsia="zh-CN"/>
        </w:rPr>
        <w:t>30</w:t>
      </w:r>
      <w:r>
        <w:rPr>
          <w:rFonts w:hint="default" w:ascii="仿宋_GB2312" w:hAnsi="仿宋_GB2312" w:eastAsia="仿宋_GB2312" w:cs="仿宋_GB2312"/>
          <w:sz w:val="32"/>
          <w:szCs w:val="32"/>
          <w:lang w:val="en-US" w:eastAsia="zh-CN"/>
        </w:rPr>
        <w:t>%比例拨付；剩余资金待项目通过验收后拨付。</w:t>
      </w:r>
    </w:p>
    <w:p w14:paraId="0E01E5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对列入市级公益性专项的给予每项最高10万元奖励，其中医疗机构牵头承担的项目（除山海协作、东西部扶贫）给予每项最高3万元的奖励。首批资金按资助总额的50%比例拨付；剩余资金待项目通过验收后拨付。</w:t>
      </w:r>
    </w:p>
    <w:p w14:paraId="674CEE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四、审核和兑现</w:t>
      </w:r>
    </w:p>
    <w:p w14:paraId="09D532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（一）重点研发计划项目实施“揭榜挂帅”，市科技局根据推动产业高质量发展要求，向社会征集重大技术攻关需求项目，经专家评审后形成申报指南，申报单位按申报指南进行申报。</w:t>
      </w:r>
    </w:p>
    <w:p w14:paraId="2198AB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（二）其他市级科技项目由项目承担单位按申报通知要求，根据自身实际和科研计划在规定时间内提交的项目材料。项目承担单位相关要求和条件见各专项申报通知。</w:t>
      </w:r>
    </w:p>
    <w:p w14:paraId="369DA3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（三）项目立项实行专家评审与行政决策相结合的方式，初定立项名单经有关部门意见征询及网上7天公示无异议后，市科技局、市财政局联合发文并拨付奖励资金至相关企业。</w:t>
      </w:r>
    </w:p>
    <w:p w14:paraId="78F946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194AFB74">
      <w:pPr>
        <w:pStyle w:val="2"/>
        <w:rPr>
          <w:rFonts w:hint="default" w:ascii="仿宋_GB2312" w:hAnsi="仿宋_GB2312" w:eastAsia="仿宋_GB2312" w:cs="仿宋_GB2312"/>
          <w:sz w:val="32"/>
          <w:szCs w:val="32"/>
          <w:lang w:val="en-US" w:eastAsia="zh-CN"/>
        </w:rPr>
      </w:pPr>
    </w:p>
    <w:p w14:paraId="4039A670">
      <w:pPr>
        <w:pStyle w:val="5"/>
        <w:rPr>
          <w:rFonts w:hint="default" w:ascii="仿宋_GB2312" w:hAnsi="仿宋_GB2312" w:eastAsia="仿宋_GB2312" w:cs="仿宋_GB2312"/>
          <w:sz w:val="32"/>
          <w:szCs w:val="32"/>
          <w:lang w:val="en-US" w:eastAsia="zh-CN"/>
        </w:rPr>
      </w:pPr>
    </w:p>
    <w:p w14:paraId="739B0167">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4BBEB6C2">
      <w:pPr>
        <w:pStyle w:val="5"/>
        <w:rPr>
          <w:rFonts w:hint="default" w:ascii="仿宋_GB2312" w:hAnsi="仿宋_GB2312" w:eastAsia="仿宋_GB2312" w:cs="仿宋_GB2312"/>
          <w:sz w:val="32"/>
          <w:szCs w:val="32"/>
          <w:lang w:val="en-US" w:eastAsia="zh-CN"/>
        </w:rPr>
      </w:pPr>
    </w:p>
    <w:p w14:paraId="74303AF8">
      <w:pPr>
        <w:pStyle w:val="5"/>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2024年科技成果奖励实施细则</w:t>
      </w:r>
    </w:p>
    <w:p w14:paraId="1C6DA478">
      <w:pPr>
        <w:pStyle w:val="5"/>
        <w:ind w:left="0" w:leftChars="0" w:firstLine="0" w:firstLineChars="0"/>
        <w:rPr>
          <w:rFonts w:hint="default" w:ascii="仿宋_GB2312" w:hAnsi="仿宋_GB2312" w:eastAsia="仿宋_GB2312" w:cs="仿宋_GB2312"/>
          <w:sz w:val="32"/>
          <w:szCs w:val="32"/>
          <w:lang w:val="en-US" w:eastAsia="zh-CN"/>
        </w:rPr>
      </w:pPr>
    </w:p>
    <w:p w14:paraId="7C973DC7">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一、奖励对象</w:t>
      </w:r>
    </w:p>
    <w:p w14:paraId="7013ACAC">
      <w:pPr>
        <w:pStyle w:val="5"/>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（一）科学技术奖</w:t>
      </w:r>
    </w:p>
    <w:p w14:paraId="40D4CBEA">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2024年获得浙江省（宁波市）科技进步奖一、二、三等奖的第一完成单位、国家科学技术奖一、二等奖的完成单位。</w:t>
      </w:r>
    </w:p>
    <w:p w14:paraId="0C81F9DB">
      <w:pPr>
        <w:pStyle w:val="5"/>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（二）中国创新创业大赛</w:t>
      </w:r>
    </w:p>
    <w:p w14:paraId="4C055727">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2024年中国创新创业大赛全国、宁波、慈溪决赛的入围企业。</w:t>
      </w:r>
    </w:p>
    <w:p w14:paraId="3788A367">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二、奖励政策</w:t>
      </w:r>
    </w:p>
    <w:p w14:paraId="5C53D344">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（一）对获得浙江省（宁波市）科技进步奖一、二、三等奖的第一完成单位，分别给予</w:t>
      </w:r>
      <w:r>
        <w:rPr>
          <w:rFonts w:hint="eastAsia" w:ascii="仿宋_GB2312" w:hAnsi="仿宋_GB2312" w:eastAsia="仿宋_GB2312" w:cs="仿宋_GB2312"/>
          <w:sz w:val="32"/>
          <w:szCs w:val="32"/>
          <w:lang w:val="en-US" w:eastAsia="zh-CN"/>
        </w:rPr>
        <w:t>50</w:t>
      </w:r>
      <w:r>
        <w:rPr>
          <w:rFonts w:hint="default" w:ascii="仿宋_GB2312" w:hAnsi="仿宋_GB2312" w:eastAsia="仿宋_GB2312" w:cs="仿宋_GB2312"/>
          <w:sz w:val="32"/>
          <w:szCs w:val="32"/>
          <w:lang w:val="en-US" w:eastAsia="zh-CN"/>
        </w:rPr>
        <w:t>万元、</w:t>
      </w:r>
      <w:r>
        <w:rPr>
          <w:rFonts w:hint="eastAsia" w:ascii="仿宋_GB2312" w:hAnsi="仿宋_GB2312" w:eastAsia="仿宋_GB2312" w:cs="仿宋_GB2312"/>
          <w:sz w:val="32"/>
          <w:szCs w:val="32"/>
          <w:lang w:val="en-US" w:eastAsia="zh-CN"/>
        </w:rPr>
        <w:t>30</w:t>
      </w:r>
      <w:r>
        <w:rPr>
          <w:rFonts w:hint="default" w:ascii="仿宋_GB2312" w:hAnsi="仿宋_GB2312" w:eastAsia="仿宋_GB2312" w:cs="仿宋_GB2312"/>
          <w:sz w:val="32"/>
          <w:szCs w:val="32"/>
          <w:lang w:val="en-US" w:eastAsia="zh-CN"/>
        </w:rPr>
        <w:t>万元、</w:t>
      </w:r>
      <w:r>
        <w:rPr>
          <w:rFonts w:hint="eastAsia" w:ascii="仿宋_GB2312" w:hAnsi="仿宋_GB2312" w:eastAsia="仿宋_GB2312" w:cs="仿宋_GB2312"/>
          <w:sz w:val="32"/>
          <w:szCs w:val="32"/>
          <w:lang w:val="en-US" w:eastAsia="zh-CN"/>
        </w:rPr>
        <w:t>10</w:t>
      </w:r>
      <w:r>
        <w:rPr>
          <w:rFonts w:hint="default" w:ascii="仿宋_GB2312" w:hAnsi="仿宋_GB2312" w:eastAsia="仿宋_GB2312" w:cs="仿宋_GB2312"/>
          <w:sz w:val="32"/>
          <w:szCs w:val="32"/>
          <w:lang w:val="en-US" w:eastAsia="zh-CN"/>
        </w:rPr>
        <w:t>万元的奖励。对获得国家科学技术奖一、二等奖的第一完成单位分别给予200万元和100万元的奖励（其他完成单位减半奖励）。</w:t>
      </w:r>
    </w:p>
    <w:p w14:paraId="5B1B9FB7">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（二）参与</w:t>
      </w:r>
      <w:r>
        <w:rPr>
          <w:rFonts w:hint="eastAsia" w:ascii="仿宋_GB2312" w:hAnsi="仿宋_GB2312" w:eastAsia="仿宋_GB2312" w:cs="仿宋_GB2312"/>
          <w:sz w:val="32"/>
          <w:szCs w:val="32"/>
          <w:lang w:val="en-US" w:eastAsia="zh-CN"/>
        </w:rPr>
        <w:t>2024</w:t>
      </w:r>
      <w:r>
        <w:rPr>
          <w:rFonts w:hint="default" w:ascii="仿宋_GB2312" w:hAnsi="仿宋_GB2312" w:eastAsia="仿宋_GB2312" w:cs="仿宋_GB2312"/>
          <w:sz w:val="32"/>
          <w:szCs w:val="32"/>
          <w:lang w:val="en-US" w:eastAsia="zh-CN"/>
        </w:rPr>
        <w:t>年中国创新创业大赛，入围慈溪决赛，每家奖励</w:t>
      </w: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万元；入围宁波决赛，每家奖励</w:t>
      </w: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en-US" w:eastAsia="zh-CN"/>
        </w:rPr>
        <w:t>万元；入围全国专业赛，每家奖励</w:t>
      </w:r>
      <w:r>
        <w:rPr>
          <w:rFonts w:hint="eastAsia" w:ascii="仿宋_GB2312" w:hAnsi="仿宋_GB2312" w:eastAsia="仿宋_GB2312" w:cs="仿宋_GB2312"/>
          <w:sz w:val="32"/>
          <w:szCs w:val="32"/>
          <w:lang w:val="en-US" w:eastAsia="zh-CN"/>
        </w:rPr>
        <w:t>3</w:t>
      </w:r>
      <w:r>
        <w:rPr>
          <w:rFonts w:hint="default" w:ascii="仿宋_GB2312" w:hAnsi="仿宋_GB2312" w:eastAsia="仿宋_GB2312" w:cs="仿宋_GB2312"/>
          <w:sz w:val="32"/>
          <w:szCs w:val="32"/>
          <w:lang w:val="en-US" w:eastAsia="zh-CN"/>
        </w:rPr>
        <w:t>万元；入围全国总决赛，每家奖励</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US" w:eastAsia="zh-CN"/>
        </w:rPr>
        <w:t>万元。入围奖励按“就高不重复”原则进行奖励。</w:t>
      </w:r>
    </w:p>
    <w:p w14:paraId="00217E83">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三、审核和兑现</w:t>
      </w:r>
    </w:p>
    <w:p w14:paraId="4FE01618">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（一）奖励补助名单以国家、省、宁波市人民政府发布的科学技术奖励公告（决定）文件、中国创新创业大赛获奖文件为准；</w:t>
      </w:r>
    </w:p>
    <w:p w14:paraId="7600B0DE">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（二）拟奖励补助企业经有关部门意见征询及网上</w:t>
      </w:r>
      <w:r>
        <w:rPr>
          <w:rFonts w:hint="eastAsia" w:ascii="仿宋_GB2312" w:hAnsi="仿宋_GB2312" w:eastAsia="仿宋_GB2312" w:cs="仿宋_GB2312"/>
          <w:sz w:val="32"/>
          <w:szCs w:val="32"/>
          <w:lang w:val="en-US" w:eastAsia="zh-CN"/>
        </w:rPr>
        <w:t>7</w:t>
      </w:r>
      <w:r>
        <w:rPr>
          <w:rFonts w:hint="default" w:ascii="仿宋_GB2312" w:hAnsi="仿宋_GB2312" w:eastAsia="仿宋_GB2312" w:cs="仿宋_GB2312"/>
          <w:sz w:val="32"/>
          <w:szCs w:val="32"/>
          <w:lang w:val="en-US" w:eastAsia="zh-CN"/>
        </w:rPr>
        <w:t>天</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公示无异议后，市科技局、市财政局联合发文并拨付奖励资金至相关企业。</w:t>
      </w:r>
    </w:p>
    <w:p w14:paraId="1B63D3F3">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251243A9">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4F5D28E6">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09F0C08C">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65CA95C8">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71118B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p>
    <w:p w14:paraId="0DCC0022">
      <w:pPr>
        <w:pStyle w:val="2"/>
        <w:rPr>
          <w:rFonts w:hint="default" w:ascii="仿宋_GB2312" w:hAnsi="仿宋_GB2312" w:eastAsia="仿宋_GB2312" w:cs="仿宋_GB2312"/>
          <w:sz w:val="32"/>
          <w:szCs w:val="32"/>
          <w:lang w:val="en-US" w:eastAsia="zh-CN"/>
        </w:rPr>
      </w:pPr>
    </w:p>
    <w:p w14:paraId="7D33FE80">
      <w:pPr>
        <w:pStyle w:val="5"/>
        <w:rPr>
          <w:rFonts w:hint="default" w:ascii="仿宋_GB2312" w:hAnsi="仿宋_GB2312" w:eastAsia="仿宋_GB2312" w:cs="仿宋_GB2312"/>
          <w:sz w:val="32"/>
          <w:szCs w:val="32"/>
          <w:lang w:val="en-US" w:eastAsia="zh-CN"/>
        </w:rPr>
      </w:pPr>
    </w:p>
    <w:p w14:paraId="40C35006">
      <w:pPr>
        <w:pStyle w:val="5"/>
        <w:rPr>
          <w:rFonts w:hint="default" w:ascii="仿宋_GB2312" w:hAnsi="仿宋_GB2312" w:eastAsia="仿宋_GB2312" w:cs="仿宋_GB2312"/>
          <w:sz w:val="32"/>
          <w:szCs w:val="32"/>
          <w:lang w:val="en-US" w:eastAsia="zh-CN"/>
        </w:rPr>
      </w:pPr>
    </w:p>
    <w:p w14:paraId="522E4642">
      <w:pPr>
        <w:pStyle w:val="5"/>
        <w:rPr>
          <w:rFonts w:hint="default" w:ascii="仿宋_GB2312" w:hAnsi="仿宋_GB2312" w:eastAsia="仿宋_GB2312" w:cs="仿宋_GB2312"/>
          <w:sz w:val="32"/>
          <w:szCs w:val="32"/>
          <w:lang w:val="en-US" w:eastAsia="zh-CN"/>
        </w:rPr>
      </w:pPr>
    </w:p>
    <w:p w14:paraId="5B301BDD">
      <w:pPr>
        <w:pStyle w:val="5"/>
        <w:rPr>
          <w:rFonts w:hint="default" w:ascii="仿宋_GB2312" w:hAnsi="仿宋_GB2312" w:eastAsia="仿宋_GB2312" w:cs="仿宋_GB2312"/>
          <w:sz w:val="32"/>
          <w:szCs w:val="32"/>
          <w:lang w:val="en-US" w:eastAsia="zh-CN"/>
        </w:rPr>
      </w:pPr>
    </w:p>
    <w:p w14:paraId="57310685">
      <w:pPr>
        <w:pStyle w:val="5"/>
        <w:rPr>
          <w:rFonts w:hint="default" w:ascii="仿宋_GB2312" w:hAnsi="仿宋_GB2312" w:eastAsia="仿宋_GB2312" w:cs="仿宋_GB2312"/>
          <w:sz w:val="32"/>
          <w:szCs w:val="32"/>
          <w:lang w:val="en-US" w:eastAsia="zh-CN"/>
        </w:rPr>
      </w:pPr>
    </w:p>
    <w:p w14:paraId="390B3B29">
      <w:pPr>
        <w:pStyle w:val="5"/>
        <w:rPr>
          <w:rFonts w:hint="default" w:ascii="仿宋_GB2312" w:hAnsi="仿宋_GB2312" w:eastAsia="仿宋_GB2312" w:cs="仿宋_GB2312"/>
          <w:sz w:val="32"/>
          <w:szCs w:val="32"/>
          <w:lang w:val="en-US" w:eastAsia="zh-CN"/>
        </w:rPr>
      </w:pPr>
    </w:p>
    <w:p w14:paraId="523C3AB4">
      <w:pPr>
        <w:pStyle w:val="5"/>
        <w:rPr>
          <w:rFonts w:hint="default" w:ascii="仿宋_GB2312" w:hAnsi="仿宋_GB2312" w:eastAsia="仿宋_GB2312" w:cs="仿宋_GB2312"/>
          <w:sz w:val="32"/>
          <w:szCs w:val="32"/>
          <w:lang w:val="en-US" w:eastAsia="zh-CN"/>
        </w:rPr>
      </w:pPr>
    </w:p>
    <w:p w14:paraId="7DCE0595">
      <w:pPr>
        <w:pStyle w:val="5"/>
        <w:rPr>
          <w:rFonts w:hint="default" w:ascii="仿宋_GB2312" w:hAnsi="仿宋_GB2312" w:eastAsia="仿宋_GB2312" w:cs="仿宋_GB2312"/>
          <w:sz w:val="32"/>
          <w:szCs w:val="32"/>
          <w:lang w:val="en-US" w:eastAsia="zh-CN"/>
        </w:rPr>
      </w:pPr>
    </w:p>
    <w:p w14:paraId="21903F85">
      <w:pPr>
        <w:pStyle w:val="5"/>
        <w:keepNext w:val="0"/>
        <w:keepLines w:val="0"/>
        <w:pageBreakBefore w:val="0"/>
        <w:widowControl/>
        <w:kinsoku/>
        <w:wordWrap/>
        <w:overflowPunct/>
        <w:topLinePunct w:val="0"/>
        <w:autoSpaceDE/>
        <w:autoSpaceDN/>
        <w:bidi w:val="0"/>
        <w:adjustRightInd/>
        <w:snapToGrid/>
        <w:spacing w:line="560" w:lineRule="exact"/>
        <w:ind w:firstLine="0"/>
        <w:jc w:val="left"/>
        <w:textAlignment w:val="auto"/>
        <w:rPr>
          <w:rFonts w:hint="eastAsia" w:ascii="仿宋_GB2312" w:hAnsi="仿宋_GB2312" w:eastAsia="仿宋_GB2312" w:cs="仿宋_GB2312"/>
          <w:sz w:val="32"/>
          <w:szCs w:val="32"/>
          <w:lang w:val="en-US" w:eastAsia="zh-CN"/>
        </w:rPr>
      </w:pPr>
    </w:p>
    <w:p w14:paraId="72DCD0BF">
      <w:pPr>
        <w:pStyle w:val="5"/>
        <w:keepNext w:val="0"/>
        <w:keepLines w:val="0"/>
        <w:pageBreakBefore w:val="0"/>
        <w:widowControl/>
        <w:kinsoku/>
        <w:wordWrap/>
        <w:overflowPunct/>
        <w:topLinePunct w:val="0"/>
        <w:autoSpaceDE/>
        <w:autoSpaceDN/>
        <w:bidi w:val="0"/>
        <w:adjustRightInd/>
        <w:snapToGrid/>
        <w:spacing w:line="560" w:lineRule="exact"/>
        <w:ind w:firstLine="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附件6</w:t>
      </w:r>
    </w:p>
    <w:p w14:paraId="30767D6E">
      <w:pPr>
        <w:pStyle w:val="5"/>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方正小标宋简体" w:hAnsi="方正小标宋简体" w:eastAsia="方正小标宋简体" w:cs="方正小标宋简体"/>
          <w:sz w:val="44"/>
          <w:szCs w:val="44"/>
          <w:lang w:val="en-US" w:eastAsia="zh-CN"/>
        </w:rPr>
      </w:pPr>
    </w:p>
    <w:p w14:paraId="17767668">
      <w:pPr>
        <w:pStyle w:val="5"/>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2024年科创平台补助实施细则</w:t>
      </w:r>
    </w:p>
    <w:p w14:paraId="086F4982">
      <w:pPr>
        <w:pStyle w:val="5"/>
        <w:keepNext w:val="0"/>
        <w:keepLines w:val="0"/>
        <w:pageBreakBefore w:val="0"/>
        <w:widowControl/>
        <w:kinsoku/>
        <w:wordWrap/>
        <w:overflowPunct/>
        <w:topLinePunct w:val="0"/>
        <w:autoSpaceDE/>
        <w:autoSpaceDN/>
        <w:bidi w:val="0"/>
        <w:adjustRightInd/>
        <w:snapToGrid/>
        <w:spacing w:line="560" w:lineRule="exact"/>
        <w:ind w:firstLine="0"/>
        <w:jc w:val="both"/>
        <w:textAlignment w:val="auto"/>
        <w:rPr>
          <w:rFonts w:hint="eastAsia" w:ascii="黑体" w:hAnsi="黑体" w:eastAsia="黑体" w:cs="黑体"/>
          <w:sz w:val="32"/>
          <w:szCs w:val="32"/>
          <w:lang w:val="en-US" w:eastAsia="zh-CN"/>
        </w:rPr>
      </w:pPr>
    </w:p>
    <w:p w14:paraId="60C0C073">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一、补助对象</w:t>
      </w:r>
    </w:p>
    <w:p w14:paraId="45B063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kern w:val="2"/>
          <w:sz w:val="32"/>
          <w:szCs w:val="32"/>
          <w:lang w:val="en-US" w:eastAsia="zh-CN" w:bidi="th"/>
        </w:rPr>
      </w:pPr>
      <w:r>
        <w:rPr>
          <w:rFonts w:hint="eastAsia" w:ascii="仿宋_GB2312" w:hAnsi="仿宋_GB2312" w:eastAsia="仿宋_GB2312" w:cs="仿宋_GB2312"/>
          <w:b w:val="0"/>
          <w:bCs w:val="0"/>
          <w:color w:val="auto"/>
          <w:kern w:val="2"/>
          <w:sz w:val="32"/>
          <w:szCs w:val="32"/>
          <w:lang w:val="en-US" w:eastAsia="zh-CN" w:bidi="th"/>
        </w:rPr>
        <w:t>（一）市级及以上产业创新服务综合体建设单位、企业创新联合体牵头单位、产业技术创新中心；</w:t>
      </w:r>
    </w:p>
    <w:p w14:paraId="1DDFEA30">
      <w:pPr>
        <w:pStyle w:val="2"/>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color w:val="auto"/>
          <w:kern w:val="2"/>
          <w:sz w:val="32"/>
          <w:szCs w:val="32"/>
          <w:lang w:val="en-US" w:eastAsia="zh-CN" w:bidi="th"/>
        </w:rPr>
      </w:pPr>
      <w:r>
        <w:rPr>
          <w:rFonts w:hint="eastAsia" w:ascii="仿宋_GB2312" w:hAnsi="仿宋_GB2312" w:eastAsia="仿宋_GB2312" w:cs="仿宋_GB2312"/>
          <w:b w:val="0"/>
          <w:bCs w:val="0"/>
          <w:color w:val="auto"/>
          <w:kern w:val="2"/>
          <w:sz w:val="32"/>
          <w:szCs w:val="32"/>
          <w:lang w:val="en-US" w:eastAsia="zh-CN" w:bidi="th"/>
        </w:rPr>
        <w:t>（二）各级众创空间、科技企业孵化器；</w:t>
      </w:r>
    </w:p>
    <w:p w14:paraId="5E25EFC0">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kern w:val="2"/>
          <w:sz w:val="32"/>
          <w:szCs w:val="32"/>
          <w:lang w:val="en-US" w:eastAsia="zh-CN" w:bidi="th"/>
        </w:rPr>
      </w:pPr>
      <w:r>
        <w:rPr>
          <w:rFonts w:hint="eastAsia" w:ascii="仿宋_GB2312" w:hAnsi="仿宋_GB2312" w:eastAsia="仿宋_GB2312" w:cs="仿宋_GB2312"/>
          <w:b w:val="0"/>
          <w:bCs w:val="0"/>
          <w:color w:val="auto"/>
          <w:kern w:val="2"/>
          <w:sz w:val="32"/>
          <w:szCs w:val="32"/>
          <w:lang w:val="en-US" w:eastAsia="zh-CN" w:bidi="th"/>
        </w:rPr>
        <w:t>（三）慈溪市智慧谷科技企业孵化器；</w:t>
      </w:r>
    </w:p>
    <w:p w14:paraId="1D98FC84">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kern w:val="2"/>
          <w:sz w:val="32"/>
          <w:szCs w:val="32"/>
          <w:lang w:val="en-US" w:eastAsia="zh-CN" w:bidi="th"/>
        </w:rPr>
      </w:pPr>
      <w:r>
        <w:rPr>
          <w:rFonts w:hint="eastAsia" w:ascii="仿宋_GB2312" w:hAnsi="仿宋_GB2312" w:eastAsia="仿宋_GB2312" w:cs="仿宋_GB2312"/>
          <w:b w:val="0"/>
          <w:bCs w:val="0"/>
          <w:color w:val="auto"/>
          <w:kern w:val="2"/>
          <w:sz w:val="32"/>
          <w:szCs w:val="32"/>
          <w:lang w:val="en-US" w:eastAsia="zh-CN" w:bidi="th"/>
        </w:rPr>
        <w:t>（四）宁波科技大市场慈溪分市场建设单位；</w:t>
      </w:r>
    </w:p>
    <w:p w14:paraId="66E60B0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b w:val="0"/>
          <w:bCs w:val="0"/>
          <w:color w:val="auto"/>
          <w:kern w:val="2"/>
          <w:sz w:val="32"/>
          <w:szCs w:val="32"/>
          <w:lang w:val="en-US" w:eastAsia="zh-CN" w:bidi="th"/>
        </w:rPr>
      </w:pPr>
      <w:r>
        <w:rPr>
          <w:rFonts w:hint="eastAsia" w:ascii="仿宋_GB2312" w:hAnsi="仿宋_GB2312" w:eastAsia="仿宋_GB2312" w:cs="仿宋_GB2312"/>
          <w:color w:val="auto"/>
          <w:kern w:val="2"/>
          <w:sz w:val="32"/>
          <w:szCs w:val="32"/>
          <w:lang w:val="en-US" w:eastAsia="zh-CN" w:bidi="th"/>
        </w:rPr>
        <w:t>（五）</w:t>
      </w:r>
      <w:r>
        <w:rPr>
          <w:rFonts w:hint="eastAsia" w:ascii="仿宋_GB2312" w:hAnsi="仿宋_GB2312" w:eastAsia="仿宋_GB2312" w:cs="仿宋_GB2312"/>
          <w:b w:val="0"/>
          <w:bCs w:val="0"/>
          <w:color w:val="auto"/>
          <w:kern w:val="2"/>
          <w:sz w:val="32"/>
          <w:szCs w:val="32"/>
          <w:lang w:val="en-US" w:eastAsia="zh-CN" w:bidi="th"/>
        </w:rPr>
        <w:t>与市政府签订共建协议、战略合作协议的中科院下属院所、国家级综合性研究机构、211高校、省内重点高校、市内本地高校（宁波大学科学技术学院等）。慈溪乡贤任高校院所领导班子成员，为回报家乡推动校（院）地合作的，该高校院所纳入补助对象；</w:t>
      </w:r>
    </w:p>
    <w:p w14:paraId="6B8A6C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kern w:val="2"/>
          <w:sz w:val="32"/>
          <w:szCs w:val="32"/>
          <w:lang w:val="en-US" w:eastAsia="zh-CN" w:bidi="th"/>
        </w:rPr>
      </w:pPr>
      <w:r>
        <w:rPr>
          <w:rFonts w:hint="eastAsia" w:ascii="仿宋_GB2312" w:hAnsi="仿宋_GB2312" w:eastAsia="仿宋_GB2312" w:cs="仿宋_GB2312"/>
          <w:color w:val="auto"/>
          <w:kern w:val="2"/>
          <w:sz w:val="32"/>
          <w:szCs w:val="32"/>
          <w:lang w:val="en-US" w:eastAsia="zh-CN" w:bidi="th"/>
        </w:rPr>
        <w:t>（六）</w:t>
      </w:r>
      <w:r>
        <w:rPr>
          <w:rFonts w:hint="eastAsia" w:ascii="仿宋_GB2312" w:hAnsi="仿宋_GB2312" w:eastAsia="仿宋_GB2312" w:cs="仿宋_GB2312"/>
          <w:b w:val="0"/>
          <w:bCs w:val="0"/>
          <w:color w:val="auto"/>
          <w:kern w:val="2"/>
          <w:sz w:val="32"/>
          <w:szCs w:val="32"/>
          <w:lang w:val="en-US" w:eastAsia="zh-CN" w:bidi="th"/>
        </w:rPr>
        <w:t>入驻慈溪市协同创新研究院的签约高校院所、研发机构。</w:t>
      </w:r>
    </w:p>
    <w:p w14:paraId="0828FD29">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二、补助政策</w:t>
      </w:r>
    </w:p>
    <w:p w14:paraId="628426EE">
      <w:pPr>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color w:val="auto"/>
          <w:spacing w:val="0"/>
          <w:sz w:val="32"/>
          <w:szCs w:val="32"/>
          <w:lang w:val="en-US" w:eastAsia="zh-CN"/>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b w:val="0"/>
          <w:color w:val="auto"/>
          <w:spacing w:val="0"/>
          <w:sz w:val="32"/>
          <w:szCs w:val="32"/>
          <w:highlight w:val="none"/>
          <w:lang w:val="en-US" w:eastAsia="zh-CN"/>
        </w:rPr>
        <w:t>对年度考核合格的</w:t>
      </w:r>
      <w:r>
        <w:rPr>
          <w:rFonts w:hint="eastAsia" w:ascii="仿宋_GB2312" w:hAnsi="仿宋_GB2312" w:eastAsia="仿宋_GB2312" w:cs="仿宋_GB2312"/>
          <w:b w:val="0"/>
          <w:bCs w:val="0"/>
          <w:color w:val="auto"/>
          <w:kern w:val="2"/>
          <w:sz w:val="32"/>
          <w:szCs w:val="32"/>
          <w:lang w:val="en-US" w:eastAsia="zh-CN" w:bidi="th"/>
        </w:rPr>
        <w:t>产业创新服务综合体建设单位，给予50万元</w:t>
      </w:r>
      <w:r>
        <w:rPr>
          <w:rFonts w:hint="eastAsia" w:ascii="仿宋_GB2312" w:hAnsi="仿宋_GB2312" w:eastAsia="仿宋_GB2312" w:cs="仿宋_GB2312"/>
          <w:b w:val="0"/>
          <w:color w:val="auto"/>
          <w:spacing w:val="0"/>
          <w:sz w:val="32"/>
          <w:szCs w:val="32"/>
          <w:highlight w:val="none"/>
          <w:lang w:val="en-US" w:eastAsia="zh-CN"/>
        </w:rPr>
        <w:t>运营经费补助</w:t>
      </w:r>
      <w:r>
        <w:rPr>
          <w:rFonts w:hint="eastAsia" w:ascii="仿宋_GB2312" w:hAnsi="仿宋_GB2312" w:eastAsia="仿宋_GB2312" w:cs="仿宋_GB2312"/>
          <w:b w:val="0"/>
          <w:color w:val="auto"/>
          <w:spacing w:val="0"/>
          <w:sz w:val="32"/>
          <w:szCs w:val="32"/>
          <w:lang w:val="en-US" w:eastAsia="zh-CN"/>
        </w:rPr>
        <w:t>。</w:t>
      </w:r>
    </w:p>
    <w:p w14:paraId="1C6EE2A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b w:val="0"/>
          <w:bCs w:val="0"/>
          <w:color w:val="auto"/>
          <w:kern w:val="2"/>
          <w:sz w:val="32"/>
          <w:szCs w:val="32"/>
          <w:lang w:val="en-US" w:eastAsia="zh-CN" w:bidi="th"/>
        </w:rPr>
      </w:pPr>
      <w:r>
        <w:rPr>
          <w:rFonts w:hint="eastAsia" w:ascii="仿宋_GB2312" w:hAnsi="仿宋_GB2312" w:eastAsia="仿宋_GB2312" w:cs="仿宋_GB2312"/>
          <w:sz w:val="32"/>
          <w:szCs w:val="32"/>
          <w:lang w:val="en-US" w:eastAsia="zh-CN"/>
        </w:rPr>
        <w:t>（二）对通过认定的</w:t>
      </w:r>
      <w:r>
        <w:rPr>
          <w:rFonts w:hint="eastAsia" w:ascii="仿宋_GB2312" w:hAnsi="仿宋_GB2312" w:eastAsia="仿宋_GB2312" w:cs="仿宋_GB2312"/>
          <w:b w:val="0"/>
          <w:bCs w:val="0"/>
          <w:color w:val="auto"/>
          <w:kern w:val="2"/>
          <w:sz w:val="32"/>
          <w:szCs w:val="32"/>
          <w:lang w:val="en-US" w:eastAsia="zh-CN" w:bidi="th"/>
        </w:rPr>
        <w:t>企业创新联合体牵头单位给予最高200万元经费补助，补助范围包括：</w:t>
      </w:r>
    </w:p>
    <w:p w14:paraId="53D00A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pacing w:val="0"/>
          <w:sz w:val="32"/>
          <w:szCs w:val="32"/>
          <w:highlight w:val="none"/>
          <w:lang w:val="en-US" w:eastAsia="zh-CN"/>
        </w:rPr>
      </w:pPr>
      <w:r>
        <w:rPr>
          <w:rFonts w:hint="eastAsia" w:ascii="仿宋_GB2312" w:hAnsi="仿宋_GB2312" w:eastAsia="仿宋_GB2312" w:cs="仿宋_GB2312"/>
          <w:b w:val="0"/>
          <w:color w:val="auto"/>
          <w:spacing w:val="0"/>
          <w:sz w:val="32"/>
          <w:szCs w:val="32"/>
          <w:highlight w:val="none"/>
          <w:lang w:val="en-US" w:eastAsia="zh-CN"/>
        </w:rPr>
        <w:t>1.牵头单位与高校、科研院所（包括中科院下属院所、国家级综合性研究机构、211高校、省内重点高校、市内本地高校，以及慈溪乡贤任领导班子成员的高校院所）开展产学研合作的，按照企业实际支付的合作经费，给予20%、每年最高不超过60万元的补助，与创新券不重复享受。</w:t>
      </w:r>
    </w:p>
    <w:p w14:paraId="3AC1D1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pacing w:val="0"/>
          <w:sz w:val="32"/>
          <w:szCs w:val="32"/>
          <w:highlight w:val="none"/>
          <w:lang w:val="en-US" w:eastAsia="zh-CN"/>
        </w:rPr>
      </w:pPr>
      <w:r>
        <w:rPr>
          <w:rFonts w:hint="eastAsia" w:ascii="仿宋_GB2312" w:hAnsi="仿宋_GB2312" w:eastAsia="仿宋_GB2312" w:cs="仿宋_GB2312"/>
          <w:b w:val="0"/>
          <w:color w:val="auto"/>
          <w:spacing w:val="0"/>
          <w:sz w:val="32"/>
          <w:szCs w:val="32"/>
          <w:highlight w:val="none"/>
          <w:lang w:val="en-US" w:eastAsia="zh-CN"/>
        </w:rPr>
        <w:t>2.牵头单位购买用于试验与检测的大型仪器设备，单台（套）金额在30万元以上的，按实际支付价款给予20%、每年每家企业最高不超过</w:t>
      </w:r>
      <w:r>
        <w:rPr>
          <w:rFonts w:hint="eastAsia" w:ascii="仿宋_GB2312" w:hAnsi="仿宋_GB2312" w:eastAsia="仿宋_GB2312" w:cs="仿宋_GB2312"/>
          <w:b w:val="0"/>
          <w:color w:val="auto"/>
          <w:spacing w:val="0"/>
          <w:sz w:val="32"/>
          <w:szCs w:val="32"/>
          <w:highlight w:val="none"/>
          <w:u w:val="none"/>
          <w:shd w:val="clear" w:color="auto" w:fill="auto"/>
          <w:lang w:val="en-US" w:eastAsia="zh-CN"/>
        </w:rPr>
        <w:t>60</w:t>
      </w:r>
      <w:r>
        <w:rPr>
          <w:rFonts w:hint="eastAsia" w:ascii="仿宋_GB2312" w:hAnsi="仿宋_GB2312" w:eastAsia="仿宋_GB2312" w:cs="仿宋_GB2312"/>
          <w:b w:val="0"/>
          <w:color w:val="auto"/>
          <w:spacing w:val="0"/>
          <w:sz w:val="32"/>
          <w:szCs w:val="32"/>
          <w:highlight w:val="none"/>
          <w:lang w:val="en-US" w:eastAsia="zh-CN"/>
        </w:rPr>
        <w:t>万元的补助。企业该项采购已获得技改（重大设备以旧换新）补助的，按补差的方式享受。</w:t>
      </w:r>
    </w:p>
    <w:p w14:paraId="4D0CB7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pacing w:val="0"/>
          <w:sz w:val="32"/>
          <w:szCs w:val="32"/>
          <w:highlight w:val="none"/>
          <w:lang w:val="en-US" w:eastAsia="zh-CN"/>
        </w:rPr>
      </w:pPr>
      <w:r>
        <w:rPr>
          <w:rFonts w:hint="eastAsia" w:ascii="仿宋_GB2312" w:hAnsi="仿宋_GB2312" w:eastAsia="仿宋_GB2312" w:cs="仿宋_GB2312"/>
          <w:b w:val="0"/>
          <w:color w:val="auto"/>
          <w:spacing w:val="0"/>
          <w:sz w:val="32"/>
          <w:szCs w:val="32"/>
          <w:highlight w:val="none"/>
          <w:lang w:val="en-US" w:eastAsia="zh-CN"/>
        </w:rPr>
        <w:t>3.牵头单位在北京、上海、深圳（含广州与佛山）等高能级城市组建研发机构的，对研发人员薪酬转化的企业内部研发经费，当年增量按慈溪母公司研发强度分档给予补助（6%以下补助5%、6</w:t>
      </w:r>
      <w:r>
        <w:rPr>
          <w:rFonts w:hint="eastAsia" w:ascii="微软雅黑" w:hAnsi="微软雅黑" w:eastAsia="微软雅黑" w:cs="微软雅黑"/>
          <w:b w:val="0"/>
          <w:color w:val="auto"/>
          <w:spacing w:val="0"/>
          <w:sz w:val="32"/>
          <w:szCs w:val="32"/>
          <w:highlight w:val="none"/>
          <w:lang w:val="en-US" w:eastAsia="zh-CN"/>
        </w:rPr>
        <w:t>~</w:t>
      </w:r>
      <w:r>
        <w:rPr>
          <w:rFonts w:hint="eastAsia" w:ascii="仿宋_GB2312" w:hAnsi="仿宋_GB2312" w:eastAsia="仿宋_GB2312" w:cs="仿宋_GB2312"/>
          <w:b w:val="0"/>
          <w:color w:val="auto"/>
          <w:spacing w:val="0"/>
          <w:sz w:val="32"/>
          <w:szCs w:val="32"/>
          <w:highlight w:val="none"/>
          <w:lang w:val="en-US" w:eastAsia="zh-CN"/>
        </w:rPr>
        <w:t>10%补助10%、10%以上补助15%），当年基数按慈溪母公司研发强度同等比例给予补助；企业外部研发经费减半补助。上述研发经费补助每家企业每年合计最高不超过100万元。</w:t>
      </w:r>
    </w:p>
    <w:p w14:paraId="5D5E75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i w:val="0"/>
          <w:caps w:val="0"/>
          <w:color w:val="auto"/>
          <w:spacing w:val="0"/>
          <w:sz w:val="32"/>
          <w:szCs w:val="32"/>
          <w:shd w:val="clear" w:fill="FFFFFF"/>
          <w:lang w:eastAsia="zh-CN"/>
        </w:rPr>
      </w:pPr>
      <w:r>
        <w:rPr>
          <w:rFonts w:hint="eastAsia" w:ascii="仿宋_GB2312" w:hAnsi="仿宋_GB2312" w:eastAsia="仿宋_GB2312" w:cs="仿宋_GB2312"/>
          <w:b w:val="0"/>
          <w:color w:val="auto"/>
          <w:spacing w:val="0"/>
          <w:sz w:val="32"/>
          <w:szCs w:val="32"/>
          <w:highlight w:val="none"/>
          <w:lang w:val="en-US" w:eastAsia="zh-CN"/>
        </w:rPr>
        <w:t>（三）产业技术创新中心实施“一中心一方案”专项扶持政策。产业技术创新中心创建成宁波市级及以上技术创新中心的，市级按上级要求给予一定比例的经费配套。</w:t>
      </w:r>
    </w:p>
    <w:p w14:paraId="37B3BE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lang w:eastAsia="zh-CN"/>
        </w:rPr>
        <w:t>（四）</w:t>
      </w:r>
      <w:r>
        <w:rPr>
          <w:rFonts w:hint="eastAsia" w:ascii="仿宋_GB2312" w:hAnsi="仿宋_GB2312" w:eastAsia="仿宋_GB2312" w:cs="仿宋_GB2312"/>
          <w:i w:val="0"/>
          <w:caps w:val="0"/>
          <w:color w:val="auto"/>
          <w:spacing w:val="0"/>
          <w:sz w:val="32"/>
          <w:szCs w:val="32"/>
          <w:shd w:val="clear" w:fill="FFFFFF"/>
        </w:rPr>
        <w:t>对新认定为本市级、宁波市、省级和国家级众创空间，分别给予最高30万元、60万元、80万元和100万元的奖励，其中对获得高一级认定的进行补差。对新认定为本市级、宁波市、省级和国家级科技企业孵化器，分别给予最高50万元、80万元、100万元和120万元的奖励，其中对获得高一级认定的进行补差奖励。对新认定的本市级众创空间和科技企业孵化器采用滚动支持。认定当年拨付60%奖励资金，第二、第三年进行年度考核，考核合格的，再分别拨付20%奖励资金。对晋升宁波市级、省级、国家级众创空间、科技企业孵化器的补差奖励部分，在晋升当年予以一次性拨付。对已认定的众创空间、科技企业孵化器每年进行年度考核，考核优秀的，再给予10万元奖励，优秀比例不高于已认定总数的三分之一。</w:t>
      </w:r>
    </w:p>
    <w:p w14:paraId="40F0FF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caps w:val="0"/>
          <w:color w:val="auto"/>
          <w:spacing w:val="0"/>
          <w:sz w:val="32"/>
          <w:szCs w:val="32"/>
          <w:shd w:val="clear" w:fill="FFFFFF"/>
        </w:rPr>
      </w:pPr>
      <w:r>
        <w:rPr>
          <w:rFonts w:hint="eastAsia" w:ascii="仿宋_GB2312" w:hAnsi="仿宋_GB2312" w:eastAsia="仿宋_GB2312" w:cs="仿宋_GB2312"/>
          <w:i w:val="0"/>
          <w:caps w:val="0"/>
          <w:color w:val="auto"/>
          <w:spacing w:val="0"/>
          <w:sz w:val="32"/>
          <w:szCs w:val="32"/>
          <w:shd w:val="clear" w:fill="FFFFFF"/>
        </w:rPr>
        <w:t>（五）对智慧谷科技企业孵化器导入合作共建省级以上科技企业孵化器的第三方专业运营团队，按政府采购合同补助。</w:t>
      </w:r>
    </w:p>
    <w:p w14:paraId="46580C94">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lang w:val="en-US"/>
        </w:rPr>
      </w:pPr>
      <w:r>
        <w:rPr>
          <w:rFonts w:hint="eastAsia" w:ascii="仿宋_GB2312" w:hAnsi="仿宋_GB2312" w:eastAsia="仿宋_GB2312" w:cs="仿宋_GB2312"/>
          <w:color w:val="auto"/>
          <w:kern w:val="2"/>
          <w:sz w:val="32"/>
          <w:szCs w:val="32"/>
          <w:lang w:val="en-US" w:eastAsia="zh-CN" w:bidi="th"/>
        </w:rPr>
        <w:t>（六）对宁波科技大市场慈溪分市场的运营单位，按政府采购协议补助，最高不超过100万元。</w:t>
      </w:r>
    </w:p>
    <w:p w14:paraId="69E93D9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60" w:lineRule="exact"/>
        <w:ind w:right="0" w:rightChars="0" w:firstLine="640" w:firstLineChars="200"/>
        <w:jc w:val="left"/>
        <w:textAlignment w:val="auto"/>
        <w:rPr>
          <w:rFonts w:hint="eastAsia" w:ascii="仿宋_GB2312" w:hAnsi="仿宋_GB2312" w:eastAsia="仿宋_GB2312" w:cs="仿宋_GB2312"/>
          <w:color w:val="auto"/>
          <w:kern w:val="2"/>
          <w:sz w:val="32"/>
          <w:szCs w:val="32"/>
          <w:lang w:val="en-US" w:eastAsia="zh-CN" w:bidi="th"/>
        </w:rPr>
      </w:pPr>
      <w:r>
        <w:rPr>
          <w:rFonts w:hint="eastAsia" w:ascii="仿宋_GB2312" w:hAnsi="仿宋_GB2312" w:eastAsia="仿宋_GB2312" w:cs="仿宋_GB2312"/>
          <w:color w:val="auto"/>
          <w:kern w:val="2"/>
          <w:sz w:val="32"/>
          <w:szCs w:val="32"/>
          <w:lang w:val="en-US" w:eastAsia="zh-CN" w:bidi="th"/>
        </w:rPr>
        <w:t>（七）与市政府签订</w:t>
      </w:r>
      <w:r>
        <w:rPr>
          <w:rFonts w:hint="eastAsia" w:ascii="仿宋_GB2312" w:hAnsi="仿宋_GB2312" w:eastAsia="仿宋_GB2312" w:cs="仿宋_GB2312"/>
          <w:color w:val="auto"/>
          <w:kern w:val="2"/>
          <w:sz w:val="32"/>
          <w:szCs w:val="32"/>
          <w:u w:val="none"/>
          <w:lang w:val="en-US" w:eastAsia="zh-CN" w:bidi="th"/>
        </w:rPr>
        <w:t>共建科创平台协议、战略合作协议的高校，</w:t>
      </w:r>
      <w:r>
        <w:rPr>
          <w:rFonts w:hint="eastAsia" w:ascii="仿宋_GB2312" w:hAnsi="仿宋_GB2312" w:eastAsia="仿宋_GB2312" w:cs="仿宋_GB2312"/>
          <w:color w:val="auto"/>
          <w:kern w:val="2"/>
          <w:sz w:val="32"/>
          <w:szCs w:val="32"/>
          <w:lang w:val="en-US" w:eastAsia="zh-CN" w:bidi="th"/>
        </w:rPr>
        <w:t>按</w:t>
      </w:r>
      <w:r>
        <w:rPr>
          <w:rFonts w:hint="eastAsia" w:ascii="仿宋_GB2312" w:hAnsi="仿宋_GB2312" w:eastAsia="仿宋_GB2312" w:cs="仿宋_GB2312"/>
          <w:sz w:val="32"/>
          <w:szCs w:val="32"/>
          <w:lang w:val="en-US" w:eastAsia="zh-CN"/>
        </w:rPr>
        <w:t>建设运营费用</w:t>
      </w:r>
      <w:r>
        <w:rPr>
          <w:rFonts w:hint="default" w:ascii="仿宋_GB2312" w:hAnsi="仿宋_GB2312" w:eastAsia="仿宋_GB2312" w:cs="仿宋_GB2312"/>
          <w:sz w:val="32"/>
          <w:szCs w:val="32"/>
          <w:lang w:eastAsia="zh-CN"/>
        </w:rPr>
        <w:t>实际</w:t>
      </w:r>
      <w:r>
        <w:rPr>
          <w:rFonts w:hint="eastAsia" w:ascii="仿宋_GB2312" w:hAnsi="仿宋_GB2312" w:eastAsia="仿宋_GB2312" w:cs="仿宋_GB2312"/>
          <w:sz w:val="32"/>
          <w:szCs w:val="32"/>
          <w:lang w:val="en-US" w:eastAsia="zh-CN"/>
        </w:rPr>
        <w:t>支出、年度任务考核情况</w:t>
      </w:r>
      <w:r>
        <w:rPr>
          <w:rFonts w:hint="eastAsia" w:ascii="仿宋_GB2312" w:hAnsi="仿宋_GB2312" w:eastAsia="仿宋_GB2312" w:cs="仿宋_GB2312"/>
          <w:color w:val="auto"/>
          <w:kern w:val="2"/>
          <w:sz w:val="32"/>
          <w:szCs w:val="32"/>
          <w:lang w:val="en-US" w:eastAsia="zh-CN" w:bidi="th"/>
        </w:rPr>
        <w:t>给予最高不超过200万元的经费补助。共建协议对经费安排、绩效评价有明确规定的按协议执行。</w:t>
      </w:r>
    </w:p>
    <w:p w14:paraId="206893D4">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lang w:val="en-US" w:eastAsia="zh-CN"/>
        </w:rPr>
      </w:pPr>
      <w:r>
        <w:rPr>
          <w:rFonts w:hint="eastAsia" w:ascii="仿宋_GB2312" w:hAnsi="仿宋_GB2312" w:eastAsia="仿宋_GB2312" w:cs="仿宋_GB2312"/>
          <w:color w:val="auto"/>
          <w:kern w:val="2"/>
          <w:sz w:val="32"/>
          <w:szCs w:val="32"/>
          <w:lang w:val="en-US" w:eastAsia="zh-CN" w:bidi="th"/>
        </w:rPr>
        <w:t>（八）</w:t>
      </w:r>
      <w:r>
        <w:rPr>
          <w:rFonts w:hint="eastAsia" w:ascii="仿宋_GB2312" w:hAnsi="仿宋_GB2312" w:eastAsia="仿宋_GB2312" w:cs="仿宋_GB2312"/>
          <w:sz w:val="32"/>
          <w:szCs w:val="32"/>
          <w:lang w:val="en-US" w:eastAsia="zh-CN"/>
        </w:rPr>
        <w:t>入驻慈溪市协同创新研究院的，</w:t>
      </w:r>
      <w:r>
        <w:rPr>
          <w:rFonts w:hint="eastAsia" w:ascii="仿宋_GB2312" w:hAnsi="仿宋_GB2312" w:eastAsia="仿宋_GB2312" w:cs="仿宋_GB2312"/>
          <w:sz w:val="32"/>
          <w:szCs w:val="32"/>
          <w:u w:val="none"/>
          <w:lang w:val="en-US" w:eastAsia="zh-CN"/>
        </w:rPr>
        <w:t>按协议</w:t>
      </w:r>
      <w:r>
        <w:rPr>
          <w:rFonts w:hint="eastAsia" w:ascii="仿宋_GB2312" w:hAnsi="仿宋_GB2312" w:eastAsia="仿宋_GB2312" w:cs="仿宋_GB2312"/>
          <w:sz w:val="32"/>
          <w:szCs w:val="32"/>
          <w:lang w:val="en-US" w:eastAsia="zh-CN"/>
        </w:rPr>
        <w:t>给予一定的工作经费补助，其中宁波市内高校（院所）10万元、宁波市外高校（院所）20万元。</w:t>
      </w:r>
    </w:p>
    <w:p w14:paraId="79CBB9FB">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三、审核和兑现</w:t>
      </w:r>
    </w:p>
    <w:p w14:paraId="604A6CAB">
      <w:pPr>
        <w:pStyle w:val="2"/>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b w:val="0"/>
          <w:color w:val="auto"/>
          <w:spacing w:val="0"/>
          <w:kern w:val="2"/>
          <w:sz w:val="32"/>
          <w:szCs w:val="32"/>
          <w:highlight w:val="none"/>
          <w:lang w:val="en-US" w:eastAsia="zh-CN" w:bidi="th-TH"/>
        </w:rPr>
      </w:pPr>
      <w:r>
        <w:rPr>
          <w:rFonts w:hint="eastAsia" w:ascii="仿宋_GB2312" w:hAnsi="仿宋_GB2312" w:eastAsia="仿宋_GB2312" w:cs="仿宋_GB2312"/>
          <w:color w:val="auto"/>
          <w:kern w:val="2"/>
          <w:sz w:val="32"/>
          <w:szCs w:val="32"/>
          <w:lang w:val="en-US" w:eastAsia="zh-CN" w:bidi="th"/>
        </w:rPr>
        <w:t>（一）</w:t>
      </w:r>
      <w:r>
        <w:rPr>
          <w:rFonts w:hint="eastAsia" w:ascii="仿宋_GB2312" w:hAnsi="仿宋_GB2312" w:eastAsia="仿宋_GB2312" w:cs="仿宋_GB2312"/>
          <w:b w:val="0"/>
          <w:color w:val="auto"/>
          <w:spacing w:val="0"/>
          <w:kern w:val="2"/>
          <w:sz w:val="32"/>
          <w:szCs w:val="32"/>
          <w:highlight w:val="none"/>
          <w:lang w:val="en-US" w:eastAsia="zh-CN" w:bidi="th-TH"/>
        </w:rPr>
        <w:t>产业创新服务综合体应符合以下条件：</w:t>
      </w:r>
    </w:p>
    <w:p w14:paraId="026F40A5">
      <w:pPr>
        <w:pStyle w:val="2"/>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rPr>
          <w:rFonts w:hint="default"/>
          <w:sz w:val="32"/>
          <w:szCs w:val="32"/>
          <w:lang w:val="en-US" w:eastAsia="zh-CN"/>
        </w:rPr>
      </w:pPr>
      <w:r>
        <w:rPr>
          <w:rFonts w:hint="eastAsia" w:ascii="仿宋_GB2312" w:hAnsi="仿宋_GB2312" w:eastAsia="仿宋_GB2312" w:cs="仿宋_GB2312"/>
          <w:b w:val="0"/>
          <w:color w:val="auto"/>
          <w:spacing w:val="0"/>
          <w:kern w:val="2"/>
          <w:sz w:val="32"/>
          <w:szCs w:val="32"/>
          <w:highlight w:val="none"/>
          <w:lang w:val="en-US" w:eastAsia="zh-CN" w:bidi="th-TH"/>
        </w:rPr>
        <w:t>1.开展产学研合作、科技招商、科技创新论坛、成果路演、科技培训及其他科技创新活动累计达到6次，参与企业超过120家次，工作经费使用基本合理规范；</w:t>
      </w:r>
      <w:r>
        <w:rPr>
          <w:rFonts w:hint="eastAsia" w:ascii="仿宋_GB2312" w:hAnsi="仿宋_GB2312" w:eastAsia="仿宋_GB2312" w:cs="仿宋_GB2312"/>
          <w:b w:val="0"/>
          <w:color w:val="auto"/>
          <w:spacing w:val="0"/>
          <w:sz w:val="32"/>
          <w:szCs w:val="32"/>
          <w:highlight w:val="none"/>
          <w:lang w:val="en-US" w:eastAsia="zh-CN"/>
        </w:rPr>
        <w:t>其中智能家电产业创新服务综合体开展各类活动</w:t>
      </w:r>
      <w:r>
        <w:rPr>
          <w:rFonts w:hint="eastAsia" w:ascii="仿宋_GB2312" w:hAnsi="仿宋_GB2312" w:eastAsia="仿宋_GB2312" w:cs="仿宋_GB2312"/>
          <w:b w:val="0"/>
          <w:color w:val="auto"/>
          <w:spacing w:val="0"/>
          <w:kern w:val="2"/>
          <w:sz w:val="32"/>
          <w:szCs w:val="32"/>
          <w:highlight w:val="none"/>
          <w:lang w:val="en-US" w:eastAsia="zh-CN" w:bidi="th-TH"/>
        </w:rPr>
        <w:t>累计达到3次，参与企业超过60家次</w:t>
      </w:r>
      <w:r>
        <w:rPr>
          <w:rFonts w:hint="eastAsia" w:ascii="仿宋_GB2312" w:hAnsi="仿宋_GB2312" w:eastAsia="仿宋_GB2312" w:cs="仿宋_GB2312"/>
          <w:b w:val="0"/>
          <w:color w:val="auto"/>
          <w:spacing w:val="0"/>
          <w:sz w:val="32"/>
          <w:szCs w:val="32"/>
          <w:highlight w:val="none"/>
          <w:lang w:val="en-US" w:eastAsia="zh-CN"/>
        </w:rPr>
        <w:t>，</w:t>
      </w:r>
      <w:r>
        <w:rPr>
          <w:rFonts w:hint="eastAsia" w:ascii="仿宋_GB2312" w:hAnsi="仿宋_GB2312" w:eastAsia="仿宋_GB2312" w:cs="仿宋_GB2312"/>
          <w:b w:val="0"/>
          <w:color w:val="auto"/>
          <w:spacing w:val="0"/>
          <w:kern w:val="2"/>
          <w:sz w:val="32"/>
          <w:szCs w:val="32"/>
          <w:highlight w:val="none"/>
          <w:lang w:val="en-US" w:eastAsia="zh-CN" w:bidi="th-TH"/>
        </w:rPr>
        <w:t>工作经费使用基本合理规范</w:t>
      </w:r>
      <w:r>
        <w:rPr>
          <w:rFonts w:hint="eastAsia" w:ascii="仿宋_GB2312" w:hAnsi="仿宋_GB2312" w:eastAsia="仿宋_GB2312" w:cs="仿宋_GB2312"/>
          <w:b w:val="0"/>
          <w:color w:val="auto"/>
          <w:spacing w:val="0"/>
          <w:sz w:val="32"/>
          <w:szCs w:val="32"/>
          <w:highlight w:val="none"/>
          <w:lang w:val="en-US" w:eastAsia="zh-CN"/>
        </w:rPr>
        <w:t>。</w:t>
      </w:r>
    </w:p>
    <w:p w14:paraId="74927880">
      <w:pPr>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spacing w:val="0"/>
          <w:sz w:val="32"/>
          <w:szCs w:val="32"/>
          <w:lang w:val="en-US" w:eastAsia="zh-CN"/>
        </w:rPr>
      </w:pPr>
      <w:r>
        <w:rPr>
          <w:rFonts w:hint="eastAsia" w:ascii="仿宋_GB2312" w:hAnsi="仿宋_GB2312" w:eastAsia="仿宋_GB2312" w:cs="仿宋_GB2312"/>
          <w:b w:val="0"/>
          <w:spacing w:val="0"/>
          <w:sz w:val="32"/>
          <w:szCs w:val="32"/>
          <w:lang w:val="en-US" w:eastAsia="zh-CN"/>
        </w:rPr>
        <w:t>2.2024年度已下拨综合体工作经费由市科技局开展审计，工作经费使用范围包括：</w:t>
      </w:r>
    </w:p>
    <w:p w14:paraId="3B9538A7">
      <w:pPr>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spacing w:val="0"/>
          <w:sz w:val="32"/>
          <w:szCs w:val="32"/>
          <w:lang w:val="en-US" w:eastAsia="zh-CN"/>
        </w:rPr>
      </w:pPr>
      <w:r>
        <w:rPr>
          <w:rFonts w:hint="eastAsia" w:ascii="仿宋_GB2312" w:hAnsi="仿宋_GB2312" w:eastAsia="仿宋_GB2312" w:cs="仿宋_GB2312"/>
          <w:b w:val="0"/>
          <w:spacing w:val="0"/>
          <w:sz w:val="32"/>
          <w:szCs w:val="32"/>
          <w:lang w:val="en-US" w:eastAsia="zh-CN"/>
        </w:rPr>
        <w:t>（1）产学研合作和科技招商：用于开展产学研合作活动、科技招商活动必要的经费开支，包括场地费、餐费、资料费、交通费、专家咨询费、讲课费、住宿费及其他必要支出，禁止用于与综合体建设无关的商务接待、招商活动等支出，禁止超出合理范围开支各项费用。</w:t>
      </w:r>
    </w:p>
    <w:p w14:paraId="26EB2B06">
      <w:pPr>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b w:val="0"/>
          <w:spacing w:val="0"/>
          <w:sz w:val="32"/>
          <w:szCs w:val="32"/>
          <w:lang w:val="en-US" w:eastAsia="zh-CN"/>
        </w:rPr>
      </w:pPr>
      <w:r>
        <w:rPr>
          <w:rFonts w:hint="eastAsia" w:ascii="仿宋_GB2312" w:hAnsi="仿宋_GB2312" w:eastAsia="仿宋_GB2312" w:cs="仿宋_GB2312"/>
          <w:b w:val="0"/>
          <w:spacing w:val="0"/>
          <w:sz w:val="32"/>
          <w:szCs w:val="32"/>
          <w:lang w:val="en-US" w:eastAsia="zh-CN"/>
        </w:rPr>
        <w:t>（2）综合体及展示平台建设：综合体建设需要租赁房屋的费用，综合体及展示平台建设必要的装修、展示产品、科研仪器设备购置、租赁费用及其他必要支出，禁止超出使用目的的房屋租赁、装修等开支。</w:t>
      </w:r>
    </w:p>
    <w:p w14:paraId="0FF10BE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60" w:lineRule="exact"/>
        <w:ind w:leftChars="0" w:right="0" w:rightChars="0" w:firstLine="640" w:firstLineChars="200"/>
        <w:jc w:val="left"/>
        <w:textAlignment w:val="auto"/>
        <w:rPr>
          <w:rFonts w:hint="eastAsia" w:ascii="仿宋_GB2312" w:hAnsi="仿宋_GB2312" w:eastAsia="仿宋_GB2312" w:cs="仿宋_GB2312"/>
          <w:b w:val="0"/>
          <w:spacing w:val="0"/>
          <w:sz w:val="32"/>
          <w:szCs w:val="32"/>
          <w:lang w:val="en-US" w:eastAsia="zh-CN"/>
        </w:rPr>
      </w:pPr>
      <w:r>
        <w:rPr>
          <w:rFonts w:hint="eastAsia" w:ascii="仿宋_GB2312" w:hAnsi="仿宋_GB2312" w:eastAsia="仿宋_GB2312" w:cs="仿宋_GB2312"/>
          <w:b w:val="0"/>
          <w:spacing w:val="0"/>
          <w:sz w:val="32"/>
          <w:szCs w:val="32"/>
          <w:lang w:val="en-US" w:eastAsia="zh-CN"/>
        </w:rPr>
        <w:t>（3）机构运营：综合体日常办公运营、物业水电、服务咨询、信息宣传、开展科技创新论坛、成果路演、科技培训和其他科技创新活动，以及其他必要支出。其中市级、宁波市级及以上综合体建设单位，分别给予依托单位最高10万元、30万元的日常办公运营经费，可用于必要的人员薪酬及日常办公开支。</w:t>
      </w:r>
    </w:p>
    <w:p w14:paraId="28DC2CFC">
      <w:pPr>
        <w:pStyle w:val="2"/>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rPr>
          <w:rFonts w:hint="default"/>
          <w:sz w:val="32"/>
          <w:szCs w:val="32"/>
          <w:lang w:val="en-US" w:eastAsia="zh-CN"/>
        </w:rPr>
      </w:pPr>
      <w:r>
        <w:rPr>
          <w:rFonts w:hint="eastAsia" w:ascii="仿宋_GB2312" w:hAnsi="仿宋_GB2312" w:eastAsia="仿宋_GB2312" w:cs="仿宋_GB2312"/>
          <w:b w:val="0"/>
          <w:spacing w:val="0"/>
          <w:sz w:val="32"/>
          <w:szCs w:val="32"/>
          <w:lang w:val="en-US" w:eastAsia="zh-CN"/>
        </w:rPr>
        <w:t>（4）行业共性技术攻关：2024年前立项的综合体自主开展的行业共性技术攻关项目结余资金、项目验收费用及其他相关费用。</w:t>
      </w:r>
    </w:p>
    <w:p w14:paraId="35A852A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auto"/>
          <w:kern w:val="2"/>
          <w:sz w:val="32"/>
          <w:szCs w:val="32"/>
          <w:lang w:val="en-US" w:eastAsia="zh-CN" w:bidi="th"/>
        </w:rPr>
      </w:pPr>
      <w:r>
        <w:rPr>
          <w:rFonts w:hint="eastAsia" w:ascii="仿宋_GB2312" w:hAnsi="仿宋_GB2312" w:eastAsia="仿宋_GB2312" w:cs="仿宋_GB2312"/>
          <w:color w:val="auto"/>
          <w:kern w:val="2"/>
          <w:sz w:val="32"/>
          <w:szCs w:val="32"/>
          <w:lang w:val="en-US" w:eastAsia="zh-CN" w:bidi="th"/>
        </w:rPr>
        <w:t>（二）协同创新研究院入驻高校院所应符合以下条件：</w:t>
      </w:r>
    </w:p>
    <w:p w14:paraId="5059F16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auto"/>
          <w:kern w:val="2"/>
          <w:sz w:val="32"/>
          <w:szCs w:val="32"/>
          <w:lang w:val="en-US" w:eastAsia="zh-CN" w:bidi="th"/>
        </w:rPr>
      </w:pPr>
      <w:r>
        <w:rPr>
          <w:rFonts w:hint="eastAsia" w:ascii="仿宋_GB2312" w:hAnsi="仿宋_GB2312" w:eastAsia="仿宋_GB2312" w:cs="仿宋_GB2312"/>
          <w:b w:val="0"/>
          <w:spacing w:val="0"/>
          <w:sz w:val="32"/>
          <w:szCs w:val="32"/>
          <w:lang w:val="en-US" w:eastAsia="zh-CN"/>
        </w:rPr>
        <w:t>（1）</w:t>
      </w:r>
      <w:r>
        <w:rPr>
          <w:rFonts w:hint="eastAsia" w:ascii="仿宋_GB2312" w:hAnsi="仿宋_GB2312" w:eastAsia="仿宋_GB2312" w:cs="仿宋_GB2312"/>
          <w:color w:val="auto"/>
          <w:kern w:val="2"/>
          <w:sz w:val="32"/>
          <w:szCs w:val="32"/>
          <w:lang w:val="en-US" w:eastAsia="zh-CN" w:bidi="th"/>
        </w:rPr>
        <w:t>已经签订慈溪市协同创新研究院共建协议；</w:t>
      </w:r>
    </w:p>
    <w:p w14:paraId="016E80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auto"/>
          <w:kern w:val="2"/>
          <w:sz w:val="32"/>
          <w:szCs w:val="32"/>
          <w:highlight w:val="yellow"/>
          <w:lang w:val="en-US" w:eastAsia="zh-CN" w:bidi="th"/>
        </w:rPr>
      </w:pPr>
      <w:r>
        <w:rPr>
          <w:rFonts w:hint="eastAsia" w:ascii="仿宋_GB2312" w:hAnsi="仿宋_GB2312" w:eastAsia="仿宋_GB2312" w:cs="仿宋_GB2312"/>
          <w:b w:val="0"/>
          <w:spacing w:val="0"/>
          <w:sz w:val="32"/>
          <w:szCs w:val="32"/>
          <w:lang w:val="en-US" w:eastAsia="zh-CN"/>
        </w:rPr>
        <w:t>（2）</w:t>
      </w:r>
      <w:r>
        <w:rPr>
          <w:rFonts w:hint="eastAsia" w:ascii="仿宋_GB2312" w:hAnsi="仿宋_GB2312" w:eastAsia="仿宋_GB2312" w:cs="仿宋_GB2312"/>
          <w:color w:val="auto"/>
          <w:kern w:val="2"/>
          <w:sz w:val="32"/>
          <w:szCs w:val="32"/>
          <w:lang w:val="en-US" w:eastAsia="zh-CN" w:bidi="th"/>
        </w:rPr>
        <w:t>同意并派员参与协同创新研究院的建设事项。</w:t>
      </w:r>
    </w:p>
    <w:p w14:paraId="65252C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th"/>
        </w:rPr>
      </w:pPr>
      <w:r>
        <w:rPr>
          <w:rFonts w:hint="eastAsia" w:ascii="仿宋_GB2312" w:hAnsi="仿宋_GB2312" w:eastAsia="仿宋_GB2312" w:cs="仿宋_GB2312"/>
          <w:color w:val="auto"/>
          <w:kern w:val="2"/>
          <w:sz w:val="32"/>
          <w:szCs w:val="32"/>
          <w:lang w:val="en-US" w:eastAsia="zh-CN" w:bidi="th"/>
        </w:rPr>
        <w:t>（三）各创新平台按要求向市科技局提供相关台账及附件资料。</w:t>
      </w:r>
    </w:p>
    <w:p w14:paraId="7CBBBFA3">
      <w:pPr>
        <w:pStyle w:val="5"/>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sz w:val="32"/>
          <w:szCs w:val="32"/>
          <w:lang w:val="en-US" w:eastAsia="zh-CN"/>
        </w:rPr>
      </w:pPr>
      <w:r>
        <w:rPr>
          <w:rFonts w:hint="eastAsia" w:ascii="仿宋_GB2312" w:hAnsi="仿宋_GB2312" w:eastAsia="仿宋_GB2312" w:cs="仿宋_GB2312"/>
          <w:color w:val="auto"/>
          <w:kern w:val="2"/>
          <w:sz w:val="32"/>
          <w:szCs w:val="32"/>
          <w:lang w:val="en-US" w:eastAsia="zh-CN" w:bidi="th"/>
        </w:rPr>
        <w:t>（四）奖励考核时间、考核内容按共建协议执行。市政府“一事一议”引进建设的科创服务平台，不重复享受本项政策补助。</w:t>
      </w:r>
    </w:p>
    <w:p w14:paraId="1F03369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560" w:lineRule="exact"/>
        <w:ind w:right="0" w:rightChars="0" w:firstLine="640" w:firstLineChars="200"/>
        <w:jc w:val="left"/>
        <w:textAlignment w:val="auto"/>
        <w:rPr>
          <w:rFonts w:hint="default" w:ascii="仿宋_GB2312" w:hAnsi="仿宋_GB2312" w:eastAsia="仿宋_GB2312" w:cs="仿宋_GB2312"/>
          <w:color w:val="auto"/>
          <w:kern w:val="2"/>
          <w:sz w:val="32"/>
          <w:szCs w:val="32"/>
          <w:lang w:val="en-US" w:eastAsia="zh-CN" w:bidi="th"/>
        </w:rPr>
      </w:pPr>
      <w:r>
        <w:rPr>
          <w:rFonts w:hint="eastAsia" w:ascii="仿宋_GB2312" w:hAnsi="仿宋_GB2312" w:eastAsia="仿宋_GB2312" w:cs="仿宋_GB2312"/>
          <w:color w:val="auto"/>
          <w:kern w:val="2"/>
          <w:sz w:val="32"/>
          <w:szCs w:val="32"/>
          <w:lang w:val="en-US" w:eastAsia="zh-CN" w:bidi="th"/>
        </w:rPr>
        <w:t>（五）市科技局根据专家审核意见（审计报告）等相关材料，提出拨付意见。</w:t>
      </w:r>
    </w:p>
    <w:p w14:paraId="289C36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th"/>
        </w:rPr>
      </w:pPr>
      <w:r>
        <w:rPr>
          <w:rFonts w:hint="eastAsia" w:ascii="仿宋_GB2312" w:hAnsi="仿宋_GB2312" w:eastAsia="仿宋_GB2312" w:cs="仿宋_GB2312"/>
          <w:color w:val="auto"/>
          <w:kern w:val="2"/>
          <w:sz w:val="32"/>
          <w:szCs w:val="32"/>
          <w:lang w:val="en-US" w:eastAsia="zh-CN" w:bidi="th"/>
        </w:rPr>
        <w:t>（六）市财政局对市科技局提出的拨付意见进行书面合规性审核，并安排经费补助。</w:t>
      </w:r>
    </w:p>
    <w:p w14:paraId="1FCDC1F9">
      <w:pPr>
        <w:pStyle w:val="2"/>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th"/>
        </w:rPr>
      </w:pPr>
    </w:p>
    <w:p w14:paraId="3E735C75">
      <w:pPr>
        <w:pStyle w:val="5"/>
        <w:rPr>
          <w:rFonts w:hint="eastAsia" w:ascii="仿宋_GB2312" w:hAnsi="仿宋_GB2312" w:eastAsia="仿宋_GB2312" w:cs="仿宋_GB2312"/>
          <w:color w:val="auto"/>
          <w:kern w:val="2"/>
          <w:sz w:val="32"/>
          <w:szCs w:val="32"/>
          <w:lang w:val="en-US" w:eastAsia="zh-CN" w:bidi="th"/>
        </w:rPr>
      </w:pPr>
    </w:p>
    <w:p w14:paraId="2AC57C8D">
      <w:pPr>
        <w:pStyle w:val="5"/>
        <w:rPr>
          <w:rFonts w:hint="eastAsia" w:ascii="仿宋_GB2312" w:hAnsi="仿宋_GB2312" w:eastAsia="仿宋_GB2312" w:cs="仿宋_GB2312"/>
          <w:color w:val="auto"/>
          <w:kern w:val="2"/>
          <w:sz w:val="32"/>
          <w:szCs w:val="32"/>
          <w:lang w:val="en-US" w:eastAsia="zh-CN" w:bidi="th"/>
        </w:rPr>
      </w:pPr>
    </w:p>
    <w:p w14:paraId="5C074051">
      <w:pPr>
        <w:pStyle w:val="5"/>
        <w:rPr>
          <w:rFonts w:hint="eastAsia" w:ascii="仿宋_GB2312" w:hAnsi="仿宋_GB2312" w:eastAsia="仿宋_GB2312" w:cs="仿宋_GB2312"/>
          <w:color w:val="auto"/>
          <w:kern w:val="2"/>
          <w:sz w:val="32"/>
          <w:szCs w:val="32"/>
          <w:lang w:val="en-US" w:eastAsia="zh-CN" w:bidi="th"/>
        </w:rPr>
      </w:pPr>
    </w:p>
    <w:p w14:paraId="5F875037">
      <w:pPr>
        <w:pStyle w:val="5"/>
        <w:rPr>
          <w:rFonts w:hint="eastAsia" w:ascii="仿宋_GB2312" w:hAnsi="仿宋_GB2312" w:eastAsia="仿宋_GB2312" w:cs="仿宋_GB2312"/>
          <w:color w:val="auto"/>
          <w:kern w:val="2"/>
          <w:sz w:val="32"/>
          <w:szCs w:val="32"/>
          <w:lang w:val="en-US" w:eastAsia="zh-CN" w:bidi="th"/>
        </w:rPr>
      </w:pPr>
    </w:p>
    <w:p w14:paraId="4F8033F1">
      <w:pPr>
        <w:pStyle w:val="5"/>
        <w:rPr>
          <w:rFonts w:hint="eastAsia" w:ascii="仿宋_GB2312" w:hAnsi="仿宋_GB2312" w:eastAsia="仿宋_GB2312" w:cs="仿宋_GB2312"/>
          <w:color w:val="auto"/>
          <w:kern w:val="2"/>
          <w:sz w:val="32"/>
          <w:szCs w:val="32"/>
          <w:lang w:val="en-US" w:eastAsia="zh-CN" w:bidi="th"/>
        </w:rPr>
      </w:pPr>
    </w:p>
    <w:p w14:paraId="790ADE99">
      <w:pPr>
        <w:pStyle w:val="5"/>
        <w:keepNext w:val="0"/>
        <w:keepLines w:val="0"/>
        <w:pageBreakBefore w:val="0"/>
        <w:widowControl/>
        <w:kinsoku/>
        <w:wordWrap/>
        <w:overflowPunct/>
        <w:topLinePunct w:val="0"/>
        <w:autoSpaceDE/>
        <w:autoSpaceDN/>
        <w:bidi w:val="0"/>
        <w:adjustRightInd/>
        <w:snapToGrid/>
        <w:spacing w:line="560" w:lineRule="exact"/>
        <w:ind w:firstLine="0"/>
        <w:jc w:val="left"/>
        <w:textAlignment w:val="auto"/>
        <w:rPr>
          <w:rFonts w:hint="eastAsia" w:ascii="仿宋_GB2312" w:hAnsi="仿宋_GB2312" w:eastAsia="仿宋_GB2312" w:cs="仿宋_GB2312"/>
          <w:sz w:val="32"/>
          <w:szCs w:val="32"/>
          <w:lang w:val="en-US" w:eastAsia="zh-CN"/>
        </w:rPr>
      </w:pPr>
    </w:p>
    <w:p w14:paraId="6BC957BC">
      <w:pPr>
        <w:pStyle w:val="5"/>
        <w:keepNext w:val="0"/>
        <w:keepLines w:val="0"/>
        <w:pageBreakBefore w:val="0"/>
        <w:widowControl/>
        <w:kinsoku/>
        <w:wordWrap/>
        <w:overflowPunct/>
        <w:topLinePunct w:val="0"/>
        <w:autoSpaceDE/>
        <w:autoSpaceDN/>
        <w:bidi w:val="0"/>
        <w:adjustRightInd/>
        <w:snapToGrid/>
        <w:spacing w:line="560" w:lineRule="exact"/>
        <w:ind w:firstLine="0"/>
        <w:jc w:val="left"/>
        <w:textAlignment w:val="auto"/>
        <w:rPr>
          <w:rFonts w:hint="eastAsia" w:ascii="仿宋_GB2312" w:hAnsi="仿宋_GB2312" w:eastAsia="仿宋_GB2312" w:cs="仿宋_GB2312"/>
          <w:sz w:val="32"/>
          <w:szCs w:val="32"/>
          <w:lang w:val="en-US" w:eastAsia="zh-CN"/>
        </w:rPr>
      </w:pPr>
    </w:p>
    <w:p w14:paraId="1141E779">
      <w:pPr>
        <w:pStyle w:val="5"/>
        <w:keepNext w:val="0"/>
        <w:keepLines w:val="0"/>
        <w:pageBreakBefore w:val="0"/>
        <w:widowControl/>
        <w:kinsoku/>
        <w:wordWrap/>
        <w:overflowPunct/>
        <w:topLinePunct w:val="0"/>
        <w:autoSpaceDE/>
        <w:autoSpaceDN/>
        <w:bidi w:val="0"/>
        <w:adjustRightInd/>
        <w:snapToGrid/>
        <w:spacing w:line="560" w:lineRule="exact"/>
        <w:ind w:firstLine="0"/>
        <w:jc w:val="left"/>
        <w:textAlignment w:val="auto"/>
        <w:rPr>
          <w:rFonts w:hint="eastAsia" w:ascii="仿宋_GB2312" w:hAnsi="仿宋_GB2312" w:eastAsia="仿宋_GB2312" w:cs="仿宋_GB2312"/>
          <w:sz w:val="32"/>
          <w:szCs w:val="32"/>
          <w:lang w:val="en-US" w:eastAsia="zh-CN"/>
        </w:rPr>
      </w:pPr>
    </w:p>
    <w:p w14:paraId="5AB245F9">
      <w:pPr>
        <w:pStyle w:val="5"/>
        <w:keepNext w:val="0"/>
        <w:keepLines w:val="0"/>
        <w:pageBreakBefore w:val="0"/>
        <w:widowControl/>
        <w:kinsoku/>
        <w:wordWrap/>
        <w:overflowPunct/>
        <w:topLinePunct w:val="0"/>
        <w:autoSpaceDE/>
        <w:autoSpaceDN/>
        <w:bidi w:val="0"/>
        <w:adjustRightInd/>
        <w:snapToGrid/>
        <w:spacing w:line="560" w:lineRule="exact"/>
        <w:ind w:firstLine="0"/>
        <w:jc w:val="left"/>
        <w:textAlignment w:val="auto"/>
        <w:rPr>
          <w:rFonts w:hint="eastAsia" w:ascii="仿宋_GB2312" w:hAnsi="仿宋_GB2312" w:eastAsia="仿宋_GB2312" w:cs="仿宋_GB2312"/>
          <w:sz w:val="32"/>
          <w:szCs w:val="32"/>
          <w:lang w:val="en-US" w:eastAsia="zh-CN"/>
        </w:rPr>
      </w:pPr>
    </w:p>
    <w:p w14:paraId="232DA036">
      <w:pPr>
        <w:pStyle w:val="5"/>
        <w:keepNext w:val="0"/>
        <w:keepLines w:val="0"/>
        <w:pageBreakBefore w:val="0"/>
        <w:widowControl/>
        <w:kinsoku/>
        <w:wordWrap/>
        <w:overflowPunct/>
        <w:topLinePunct w:val="0"/>
        <w:autoSpaceDE/>
        <w:autoSpaceDN/>
        <w:bidi w:val="0"/>
        <w:adjustRightInd/>
        <w:snapToGrid/>
        <w:spacing w:line="560" w:lineRule="exact"/>
        <w:ind w:firstLine="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附件7</w:t>
      </w:r>
    </w:p>
    <w:p w14:paraId="4F15D4DB">
      <w:pPr>
        <w:pStyle w:val="5"/>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方正小标宋简体" w:hAnsi="方正小标宋简体" w:eastAsia="方正小标宋简体" w:cs="方正小标宋简体"/>
          <w:b w:val="0"/>
          <w:bCs w:val="0"/>
          <w:sz w:val="44"/>
          <w:szCs w:val="44"/>
          <w:lang w:val="en-US" w:eastAsia="zh-CN"/>
        </w:rPr>
      </w:pPr>
    </w:p>
    <w:p w14:paraId="6DE5A350">
      <w:pPr>
        <w:pStyle w:val="5"/>
        <w:keepNext w:val="0"/>
        <w:keepLines w:val="0"/>
        <w:pageBreakBefore w:val="0"/>
        <w:widowControl/>
        <w:kinsoku/>
        <w:wordWrap/>
        <w:overflowPunct/>
        <w:topLinePunct w:val="0"/>
        <w:autoSpaceDE/>
        <w:autoSpaceDN/>
        <w:bidi w:val="0"/>
        <w:adjustRightInd/>
        <w:snapToGrid/>
        <w:spacing w:line="560" w:lineRule="exact"/>
        <w:ind w:firstLine="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2024年科技型中小企业服务站考核实施细则</w:t>
      </w:r>
    </w:p>
    <w:p w14:paraId="3DC952E3">
      <w:pPr>
        <w:pStyle w:val="5"/>
        <w:keepNext w:val="0"/>
        <w:keepLines w:val="0"/>
        <w:pageBreakBefore w:val="0"/>
        <w:widowControl/>
        <w:kinsoku/>
        <w:wordWrap/>
        <w:overflowPunct/>
        <w:topLinePunct w:val="0"/>
        <w:autoSpaceDE/>
        <w:autoSpaceDN/>
        <w:bidi w:val="0"/>
        <w:adjustRightInd/>
        <w:snapToGrid/>
        <w:spacing w:line="560" w:lineRule="exact"/>
        <w:ind w:firstLine="0"/>
        <w:jc w:val="left"/>
        <w:textAlignment w:val="auto"/>
        <w:rPr>
          <w:rFonts w:hint="eastAsia" w:ascii="仿宋_GB2312" w:hAnsi="仿宋_GB2312" w:eastAsia="仿宋_GB2312" w:cs="仿宋_GB2312"/>
          <w:sz w:val="32"/>
          <w:szCs w:val="32"/>
          <w:lang w:val="en-US" w:eastAsia="zh-CN"/>
        </w:rPr>
      </w:pPr>
    </w:p>
    <w:p w14:paraId="5A437D2B">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一、奖励对象</w:t>
      </w:r>
    </w:p>
    <w:p w14:paraId="0636CD67">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考核优良的科技型中小企业服务站运营单位；</w:t>
      </w:r>
    </w:p>
    <w:p w14:paraId="702A42E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color w:val="auto"/>
          <w:kern w:val="2"/>
          <w:sz w:val="32"/>
          <w:szCs w:val="32"/>
          <w:lang w:val="en-US" w:eastAsia="zh-CN" w:bidi="th"/>
        </w:rPr>
        <w:t>业绩突出的科技人才服务中介。</w:t>
      </w:r>
    </w:p>
    <w:p w14:paraId="080E1FE5">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二、考核标准</w:t>
      </w:r>
    </w:p>
    <w:p w14:paraId="34AADBB9">
      <w:pPr>
        <w:pStyle w:val="5"/>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（一）科技型中小企业服务站考核标准</w:t>
      </w:r>
    </w:p>
    <w:p w14:paraId="0D831DBC">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（1）公益分（10分）</w:t>
      </w:r>
    </w:p>
    <w:p w14:paraId="4AFB7D9F">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u w:val="none"/>
          <w:lang w:val="en-US" w:eastAsia="zh-CN" w:bidi="ar-SA"/>
        </w:rPr>
        <w:t>以服务站为考核单位</w:t>
      </w:r>
      <w:r>
        <w:rPr>
          <w:rFonts w:hint="eastAsia" w:ascii="仿宋_GB2312" w:hAnsi="仿宋_GB2312" w:eastAsia="仿宋_GB2312" w:cs="仿宋_GB2312"/>
          <w:sz w:val="32"/>
          <w:szCs w:val="32"/>
          <w:u w:val="none"/>
          <w:lang w:val="en-US" w:eastAsia="zh-CN"/>
        </w:rPr>
        <w:t>，基准分6分，各项指标每提升（降低）10%（或1次、</w:t>
      </w:r>
      <w:r>
        <w:rPr>
          <w:rFonts w:hint="eastAsia" w:ascii="仿宋_GB2312" w:hAnsi="仿宋_GB2312" w:eastAsia="仿宋_GB2312" w:cs="仿宋_GB2312"/>
          <w:kern w:val="2"/>
          <w:sz w:val="32"/>
          <w:szCs w:val="32"/>
          <w:u w:val="none"/>
          <w:lang w:val="en-US" w:eastAsia="zh-CN" w:bidi="ar-SA"/>
        </w:rPr>
        <w:t>1人</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color w:val="auto"/>
          <w:sz w:val="32"/>
          <w:szCs w:val="32"/>
          <w:u w:val="none"/>
          <w:lang w:val="en-US" w:eastAsia="zh-CN"/>
        </w:rPr>
        <w:t>4</w:t>
      </w:r>
      <w:r>
        <w:rPr>
          <w:rFonts w:hint="eastAsia" w:ascii="仿宋_GB2312" w:hAnsi="仿宋_GB2312" w:eastAsia="仿宋_GB2312" w:cs="仿宋_GB2312"/>
          <w:sz w:val="32"/>
          <w:szCs w:val="32"/>
          <w:u w:val="none"/>
          <w:lang w:val="en-US" w:eastAsia="zh-CN"/>
        </w:rPr>
        <w:t>篇）</w:t>
      </w:r>
      <w:r>
        <w:rPr>
          <w:rFonts w:hint="eastAsia" w:ascii="仿宋_GB2312" w:hAnsi="仿宋_GB2312" w:eastAsia="仿宋_GB2312" w:cs="仿宋_GB2312"/>
          <w:sz w:val="32"/>
          <w:szCs w:val="32"/>
          <w:lang w:val="en-US" w:eastAsia="zh-CN"/>
        </w:rPr>
        <w:t>，加（扣）1分，最高10分，最低0分。</w:t>
      </w:r>
    </w:p>
    <w:p w14:paraId="74469020">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val="en-US" w:eastAsia="zh-CN"/>
        </w:rPr>
        <w:t>1.服务驻站工作扎实开展，出勤率＞90%，</w:t>
      </w:r>
      <w:r>
        <w:rPr>
          <w:rFonts w:hint="eastAsia" w:ascii="仿宋_GB2312" w:hAnsi="仿宋_GB2312" w:eastAsia="仿宋_GB2312" w:cs="仿宋_GB2312"/>
          <w:sz w:val="32"/>
          <w:szCs w:val="32"/>
          <w:u w:val="none"/>
          <w:lang w:val="en-US" w:eastAsia="zh-CN"/>
        </w:rPr>
        <w:t>或服务区内科技企业（含高企后备企业、省科技型中小企业、国家科技型中小企业、高新技术企业）打卡率＞90%；</w:t>
      </w:r>
    </w:p>
    <w:p w14:paraId="300D729D">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2.组织属地开展科技政策宣讲培训2次以上；</w:t>
      </w:r>
    </w:p>
    <w:p w14:paraId="730D1CE6">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kern w:val="2"/>
          <w:sz w:val="32"/>
          <w:szCs w:val="32"/>
          <w:u w:val="none"/>
          <w:lang w:val="en-US" w:eastAsia="zh-CN" w:bidi="ar-SA"/>
        </w:rPr>
        <w:t>配合科技特派员工作，与浙江科技大学慈溪产业研究院、武汉科技大学慈溪技术转移中心等派出单位签订合作协议，承接1名以上科技特派员参与企业服务</w:t>
      </w:r>
      <w:r>
        <w:rPr>
          <w:rFonts w:hint="eastAsia" w:ascii="仿宋_GB2312" w:hAnsi="仿宋_GB2312" w:eastAsia="仿宋_GB2312" w:cs="仿宋_GB2312"/>
          <w:sz w:val="32"/>
          <w:szCs w:val="32"/>
          <w:u w:val="none"/>
          <w:lang w:val="en-US" w:eastAsia="zh-CN"/>
        </w:rPr>
        <w:t>；</w:t>
      </w:r>
    </w:p>
    <w:p w14:paraId="0BA553AE">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kern w:val="2"/>
          <w:sz w:val="32"/>
          <w:szCs w:val="32"/>
          <w:u w:val="none"/>
          <w:lang w:val="en-US" w:eastAsia="zh-CN" w:bidi="ar-SA"/>
        </w:rPr>
        <w:t>配合产业创新服务综合体、技术创新中心等产业创新平台的产研对接活动或论坛年会等学术活动1次以上，组织所服务的企业4家以上参加活动</w:t>
      </w:r>
      <w:r>
        <w:rPr>
          <w:rFonts w:hint="eastAsia" w:ascii="仿宋_GB2312" w:hAnsi="仿宋_GB2312" w:eastAsia="仿宋_GB2312" w:cs="仿宋_GB2312"/>
          <w:sz w:val="32"/>
          <w:szCs w:val="32"/>
          <w:u w:val="none"/>
          <w:lang w:val="en-US" w:eastAsia="zh-CN"/>
        </w:rPr>
        <w:t>；</w:t>
      </w:r>
    </w:p>
    <w:p w14:paraId="53C5AE89">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5.宣传工作成绩明显，信息报送</w:t>
      </w:r>
      <w:r>
        <w:rPr>
          <w:rFonts w:hint="eastAsia" w:ascii="仿宋_GB2312" w:hAnsi="仿宋_GB2312" w:eastAsia="仿宋_GB2312" w:cs="仿宋_GB2312"/>
          <w:color w:val="auto"/>
          <w:sz w:val="32"/>
          <w:szCs w:val="32"/>
          <w:u w:val="none"/>
          <w:lang w:val="en-US" w:eastAsia="zh-CN"/>
        </w:rPr>
        <w:t>8</w:t>
      </w:r>
      <w:r>
        <w:rPr>
          <w:rFonts w:hint="eastAsia" w:ascii="仿宋_GB2312" w:hAnsi="仿宋_GB2312" w:eastAsia="仿宋_GB2312" w:cs="仿宋_GB2312"/>
          <w:sz w:val="32"/>
          <w:szCs w:val="32"/>
          <w:lang w:val="en-US" w:eastAsia="zh-CN"/>
        </w:rPr>
        <w:t>篇以上。</w:t>
      </w:r>
    </w:p>
    <w:p w14:paraId="25AAAD4E">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（2）绩效分（40分）</w:t>
      </w:r>
    </w:p>
    <w:p w14:paraId="790A8789">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以服务站为考核单位，各项分项计分，每项业绩最高的服务站赋满分，其余服务站按比例赋分。</w:t>
      </w:r>
    </w:p>
    <w:p w14:paraId="0293A49F">
      <w:pPr>
        <w:pStyle w:val="5"/>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color w:val="auto"/>
          <w:kern w:val="2"/>
          <w:sz w:val="32"/>
          <w:szCs w:val="32"/>
          <w:u w:val="none"/>
          <w:lang w:val="en-US" w:eastAsia="zh-CN" w:bidi="ar-SA"/>
        </w:rPr>
        <w:t>高新技术企业申报数或申报率（</w:t>
      </w:r>
      <w:r>
        <w:rPr>
          <w:rFonts w:hint="eastAsia" w:ascii="仿宋_GB2312" w:hAnsi="仿宋_GB2312" w:eastAsia="仿宋_GB2312" w:cs="仿宋_GB2312"/>
          <w:color w:val="auto"/>
          <w:sz w:val="32"/>
          <w:szCs w:val="32"/>
          <w:u w:val="none"/>
          <w:lang w:val="en-US" w:eastAsia="zh-CN"/>
        </w:rPr>
        <w:t>20</w:t>
      </w:r>
      <w:r>
        <w:rPr>
          <w:rFonts w:hint="eastAsia" w:ascii="仿宋_GB2312" w:hAnsi="仿宋_GB2312" w:eastAsia="仿宋_GB2312" w:cs="仿宋_GB2312"/>
          <w:color w:val="auto"/>
          <w:kern w:val="2"/>
          <w:sz w:val="32"/>
          <w:szCs w:val="32"/>
          <w:u w:val="none"/>
          <w:lang w:val="en-US" w:eastAsia="zh-CN" w:bidi="ar-SA"/>
        </w:rPr>
        <w:t>分）。按服务区前两批新申报企业数×</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color w:val="auto"/>
          <w:kern w:val="2"/>
          <w:sz w:val="32"/>
          <w:szCs w:val="32"/>
          <w:u w:val="none"/>
          <w:lang w:val="en-US" w:eastAsia="zh-CN" w:bidi="ar-SA"/>
        </w:rPr>
        <w:t>+补充批次挖掘数×</w:t>
      </w:r>
      <w:r>
        <w:rPr>
          <w:rFonts w:hint="eastAsia" w:ascii="仿宋_GB2312" w:hAnsi="仿宋_GB2312" w:eastAsia="仿宋_GB2312" w:cs="仿宋_GB2312"/>
          <w:color w:val="auto"/>
          <w:sz w:val="32"/>
          <w:szCs w:val="32"/>
          <w:u w:val="none"/>
          <w:lang w:val="en-US" w:eastAsia="zh-CN"/>
        </w:rPr>
        <w:t>4</w:t>
      </w:r>
      <w:r>
        <w:rPr>
          <w:rFonts w:hint="eastAsia" w:ascii="仿宋_GB2312" w:hAnsi="仿宋_GB2312" w:eastAsia="仿宋_GB2312" w:cs="仿宋_GB2312"/>
          <w:color w:val="auto"/>
          <w:kern w:val="2"/>
          <w:sz w:val="32"/>
          <w:szCs w:val="32"/>
          <w:u w:val="none"/>
          <w:lang w:val="en-US" w:eastAsia="zh-CN" w:bidi="ar-SA"/>
        </w:rPr>
        <w:t>-应重新认定的高企弃报（或外迁数）×</w:t>
      </w:r>
      <w:r>
        <w:rPr>
          <w:rFonts w:hint="eastAsia" w:ascii="仿宋_GB2312" w:hAnsi="仿宋_GB2312" w:eastAsia="仿宋_GB2312" w:cs="仿宋_GB2312"/>
          <w:color w:val="auto"/>
          <w:sz w:val="32"/>
          <w:szCs w:val="32"/>
          <w:u w:val="none"/>
          <w:lang w:val="en-US" w:eastAsia="zh-CN"/>
        </w:rPr>
        <w:t>2</w:t>
      </w:r>
      <w:r>
        <w:rPr>
          <w:rFonts w:hint="eastAsia" w:ascii="仿宋_GB2312" w:hAnsi="仿宋_GB2312" w:eastAsia="仿宋_GB2312" w:cs="仿宋_GB2312"/>
          <w:color w:val="auto"/>
          <w:kern w:val="2"/>
          <w:sz w:val="32"/>
          <w:szCs w:val="32"/>
          <w:u w:val="none"/>
          <w:lang w:val="en-US" w:eastAsia="zh-CN" w:bidi="ar-SA"/>
        </w:rPr>
        <w:t>计分，其中驻站中介在补充批次挖掘来的其他服务区的新申报高企，计入其驻站的服务站</w:t>
      </w:r>
      <w:r>
        <w:rPr>
          <w:rFonts w:hint="eastAsia" w:ascii="仿宋_GB2312" w:hAnsi="仿宋_GB2312" w:eastAsia="仿宋_GB2312" w:cs="仿宋_GB2312"/>
          <w:color w:val="auto"/>
          <w:sz w:val="32"/>
          <w:szCs w:val="32"/>
          <w:u w:val="none"/>
          <w:lang w:val="en-US" w:eastAsia="zh-CN"/>
        </w:rPr>
        <w:t>。</w:t>
      </w:r>
    </w:p>
    <w:p w14:paraId="1307F4CD">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2.浙江省科技型中小企业（6分）。</w:t>
      </w:r>
      <w:r>
        <w:rPr>
          <w:rFonts w:hint="eastAsia" w:ascii="仿宋_GB2312" w:hAnsi="仿宋_GB2312" w:eastAsia="仿宋_GB2312" w:cs="仿宋_GB2312"/>
          <w:color w:val="auto"/>
          <w:kern w:val="2"/>
          <w:sz w:val="32"/>
          <w:szCs w:val="32"/>
          <w:u w:val="none"/>
          <w:lang w:val="en-US" w:eastAsia="zh-CN" w:bidi="ar-SA"/>
        </w:rPr>
        <w:t>按服务区内浙江省科技型中小企业申报数计分，第五批次申报的双倍计分</w:t>
      </w:r>
      <w:r>
        <w:rPr>
          <w:rFonts w:hint="eastAsia" w:ascii="仿宋_GB2312" w:hAnsi="仿宋_GB2312" w:eastAsia="仿宋_GB2312" w:cs="仿宋_GB2312"/>
          <w:color w:val="auto"/>
          <w:sz w:val="32"/>
          <w:szCs w:val="32"/>
          <w:u w:val="none"/>
          <w:lang w:val="en-US" w:eastAsia="zh-CN"/>
        </w:rPr>
        <w:t>。</w:t>
      </w:r>
    </w:p>
    <w:p w14:paraId="3A1C2E0E">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3.国家科技型中小企业（4分）。按服务区内国家科技型中小企业与产值规模2亿元以下高新技术企业比值计分。</w:t>
      </w:r>
    </w:p>
    <w:p w14:paraId="517AB5DC">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4.规上工业企业中开展研究开发活动企业比重（10分）。</w:t>
      </w:r>
      <w:r>
        <w:rPr>
          <w:rFonts w:hint="eastAsia" w:ascii="仿宋_GB2312" w:hAnsi="仿宋_GB2312" w:eastAsia="仿宋_GB2312" w:cs="仿宋_GB2312"/>
          <w:color w:val="auto"/>
          <w:kern w:val="2"/>
          <w:sz w:val="32"/>
          <w:szCs w:val="32"/>
          <w:u w:val="none"/>
          <w:lang w:val="en-US" w:eastAsia="zh-CN" w:bidi="ar-SA"/>
        </w:rPr>
        <w:t>服务区内年报中有研发费用反映的规上工业企业占比（</w:t>
      </w:r>
      <w:r>
        <w:rPr>
          <w:rFonts w:hint="eastAsia" w:ascii="仿宋_GB2312" w:hAnsi="仿宋_GB2312" w:eastAsia="仿宋_GB2312" w:cs="仿宋_GB2312"/>
          <w:color w:val="auto"/>
          <w:sz w:val="32"/>
          <w:szCs w:val="32"/>
          <w:u w:val="none"/>
          <w:lang w:val="en-US" w:eastAsia="zh-CN"/>
        </w:rPr>
        <w:t>5</w:t>
      </w:r>
      <w:r>
        <w:rPr>
          <w:rFonts w:hint="eastAsia" w:ascii="仿宋_GB2312" w:hAnsi="仿宋_GB2312" w:eastAsia="仿宋_GB2312" w:cs="仿宋_GB2312"/>
          <w:color w:val="auto"/>
          <w:kern w:val="2"/>
          <w:sz w:val="32"/>
          <w:szCs w:val="32"/>
          <w:u w:val="none"/>
          <w:lang w:val="en-US" w:eastAsia="zh-CN" w:bidi="ar-SA"/>
        </w:rPr>
        <w:t>分）与提升比例（</w:t>
      </w:r>
      <w:r>
        <w:rPr>
          <w:rFonts w:hint="eastAsia" w:ascii="仿宋_GB2312" w:hAnsi="仿宋_GB2312" w:eastAsia="仿宋_GB2312" w:cs="仿宋_GB2312"/>
          <w:color w:val="auto"/>
          <w:sz w:val="32"/>
          <w:szCs w:val="32"/>
          <w:u w:val="none"/>
          <w:lang w:val="en-US" w:eastAsia="zh-CN"/>
        </w:rPr>
        <w:t>5</w:t>
      </w:r>
      <w:r>
        <w:rPr>
          <w:rFonts w:hint="eastAsia" w:ascii="仿宋_GB2312" w:hAnsi="仿宋_GB2312" w:eastAsia="仿宋_GB2312" w:cs="仿宋_GB2312"/>
          <w:color w:val="auto"/>
          <w:kern w:val="2"/>
          <w:sz w:val="32"/>
          <w:szCs w:val="32"/>
          <w:u w:val="none"/>
          <w:lang w:val="en-US" w:eastAsia="zh-CN" w:bidi="ar-SA"/>
        </w:rPr>
        <w:t>分）计分</w:t>
      </w:r>
      <w:r>
        <w:rPr>
          <w:rFonts w:hint="eastAsia" w:ascii="仿宋_GB2312" w:hAnsi="仿宋_GB2312" w:eastAsia="仿宋_GB2312" w:cs="仿宋_GB2312"/>
          <w:color w:val="auto"/>
          <w:sz w:val="32"/>
          <w:szCs w:val="32"/>
          <w:u w:val="none"/>
          <w:lang w:val="en-US" w:eastAsia="zh-CN"/>
        </w:rPr>
        <w:t>。</w:t>
      </w:r>
    </w:p>
    <w:p w14:paraId="189B44F1">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（3）业务分（100分）</w:t>
      </w:r>
    </w:p>
    <w:p w14:paraId="27B60621">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u w:val="none"/>
          <w:lang w:val="en-US" w:eastAsia="zh-CN" w:bidi="ar-SA"/>
        </w:rPr>
        <w:t>以科技服务联盟会员为考核单位</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lang w:val="en-US" w:eastAsia="zh-CN"/>
        </w:rPr>
        <w:t>按绩效赋分，绩效总得分封顶100分。</w:t>
      </w:r>
    </w:p>
    <w:p w14:paraId="03B57365">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1.高新技术企业，辅导并有效申报，首次认定的每家记1分，重新认定的每家记0.5分，</w:t>
      </w:r>
      <w:r>
        <w:rPr>
          <w:rFonts w:hint="eastAsia" w:ascii="仿宋_GB2312" w:hAnsi="仿宋_GB2312" w:eastAsia="仿宋_GB2312" w:cs="仿宋_GB2312"/>
          <w:kern w:val="2"/>
          <w:sz w:val="32"/>
          <w:szCs w:val="32"/>
          <w:u w:val="none"/>
          <w:lang w:val="en-US" w:eastAsia="zh-CN" w:bidi="ar-SA"/>
        </w:rPr>
        <w:t>补充批次挖掘的每家记</w:t>
      </w:r>
      <w:r>
        <w:rPr>
          <w:rFonts w:hint="eastAsia" w:ascii="仿宋_GB2312" w:hAnsi="仿宋_GB2312" w:eastAsia="仿宋_GB2312" w:cs="仿宋_GB2312"/>
          <w:color w:val="auto"/>
          <w:sz w:val="32"/>
          <w:szCs w:val="32"/>
          <w:u w:val="none"/>
          <w:lang w:val="en-US" w:eastAsia="zh-CN"/>
        </w:rPr>
        <w:t>4</w:t>
      </w:r>
      <w:r>
        <w:rPr>
          <w:rFonts w:hint="eastAsia" w:ascii="仿宋_GB2312" w:hAnsi="仿宋_GB2312" w:eastAsia="仿宋_GB2312" w:cs="仿宋_GB2312"/>
          <w:kern w:val="2"/>
          <w:sz w:val="32"/>
          <w:szCs w:val="32"/>
          <w:u w:val="none"/>
          <w:lang w:val="en-US" w:eastAsia="zh-CN" w:bidi="ar-SA"/>
        </w:rPr>
        <w:t>分</w:t>
      </w:r>
      <w:r>
        <w:rPr>
          <w:rFonts w:hint="eastAsia" w:ascii="仿宋_GB2312" w:hAnsi="仿宋_GB2312" w:eastAsia="仿宋_GB2312" w:cs="仿宋_GB2312"/>
          <w:sz w:val="32"/>
          <w:szCs w:val="32"/>
          <w:u w:val="none"/>
          <w:lang w:val="en-US" w:eastAsia="zh-CN"/>
        </w:rPr>
        <w:t>；</w:t>
      </w:r>
    </w:p>
    <w:p w14:paraId="478505B0">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2.浙江省科技型中小企业，</w:t>
      </w:r>
      <w:r>
        <w:rPr>
          <w:rFonts w:hint="eastAsia" w:ascii="仿宋_GB2312" w:hAnsi="仿宋_GB2312" w:eastAsia="仿宋_GB2312" w:cs="仿宋_GB2312"/>
          <w:kern w:val="2"/>
          <w:sz w:val="32"/>
          <w:szCs w:val="32"/>
          <w:u w:val="none"/>
          <w:lang w:val="en-US" w:eastAsia="zh-CN" w:bidi="ar-SA"/>
        </w:rPr>
        <w:t>无偿为慈溪企业</w:t>
      </w:r>
      <w:r>
        <w:rPr>
          <w:rFonts w:hint="eastAsia" w:ascii="仿宋_GB2312" w:hAnsi="仿宋_GB2312" w:eastAsia="仿宋_GB2312" w:cs="仿宋_GB2312"/>
          <w:sz w:val="32"/>
          <w:szCs w:val="32"/>
          <w:lang w:val="en-US" w:eastAsia="zh-CN"/>
        </w:rPr>
        <w:t>备案浙江省科技型中小企业，每家记1分。</w:t>
      </w:r>
    </w:p>
    <w:p w14:paraId="5884FECA">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（4）加扣分项</w:t>
      </w:r>
    </w:p>
    <w:p w14:paraId="510FC2CC">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1.承担科技部门交办的阶段性突击任务，按通知要求的任务完成实绩赋分，每项任务最高不超过5分，加入服务站绩效分、会员业务分；</w:t>
      </w:r>
    </w:p>
    <w:p w14:paraId="4F6958E6">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val="en-US" w:eastAsia="zh-CN"/>
        </w:rPr>
        <w:t>2.服务站驻站中介违反《浙江省市场中介机构管理办法》，出现合同履行、服务质量纠纷，产生网络舆情、行政处罚等情形经核实的，</w:t>
      </w:r>
      <w:r>
        <w:rPr>
          <w:rFonts w:hint="eastAsia" w:ascii="仿宋_GB2312" w:hAnsi="仿宋_GB2312" w:eastAsia="仿宋_GB2312" w:cs="仿宋_GB2312"/>
          <w:kern w:val="2"/>
          <w:sz w:val="32"/>
          <w:szCs w:val="32"/>
          <w:u w:val="none"/>
          <w:lang w:val="en-US" w:eastAsia="zh-CN" w:bidi="ar-SA"/>
        </w:rPr>
        <w:t>每发生一起，在服务站绩效分、会员业务分中，同时各扣5分</w:t>
      </w:r>
      <w:r>
        <w:rPr>
          <w:rFonts w:hint="eastAsia" w:ascii="仿宋_GB2312" w:hAnsi="仿宋_GB2312" w:eastAsia="仿宋_GB2312" w:cs="仿宋_GB2312"/>
          <w:sz w:val="32"/>
          <w:szCs w:val="32"/>
          <w:u w:val="none"/>
          <w:lang w:val="en-US" w:eastAsia="zh-CN"/>
        </w:rPr>
        <w:t>；</w:t>
      </w:r>
    </w:p>
    <w:p w14:paraId="0E46D25F">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3.</w:t>
      </w:r>
      <w:r>
        <w:rPr>
          <w:rFonts w:hint="eastAsia" w:ascii="仿宋_GB2312" w:hAnsi="仿宋_GB2312" w:eastAsia="仿宋_GB2312" w:cs="仿宋_GB2312"/>
          <w:kern w:val="2"/>
          <w:sz w:val="32"/>
          <w:szCs w:val="32"/>
          <w:u w:val="none"/>
          <w:lang w:val="en-US" w:eastAsia="zh-CN" w:bidi="ar-SA"/>
        </w:rPr>
        <w:t>联盟会员发生上述情形的，在会员业务分中每起扣5分</w:t>
      </w:r>
      <w:r>
        <w:rPr>
          <w:rFonts w:hint="eastAsia" w:ascii="仿宋_GB2312" w:hAnsi="仿宋_GB2312" w:eastAsia="仿宋_GB2312" w:cs="仿宋_GB2312"/>
          <w:sz w:val="32"/>
          <w:szCs w:val="32"/>
          <w:u w:val="none"/>
          <w:lang w:val="en-US" w:eastAsia="zh-CN"/>
        </w:rPr>
        <w:t>。</w:t>
      </w:r>
    </w:p>
    <w:p w14:paraId="77C297F5">
      <w:pPr>
        <w:pStyle w:val="5"/>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（二）科技人才服务中介考核标准</w:t>
      </w:r>
    </w:p>
    <w:p w14:paraId="286BE4CB">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1.成功对接在海外高校、科研机构、企业中任中高级职务的技术性人才，并做好后续服务工作，每人次得40分，封顶80分；</w:t>
      </w:r>
    </w:p>
    <w:p w14:paraId="1B695864">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2.引进人才（团队）实施“双尖双领+X”重大科技项目，每项得50分；</w:t>
      </w:r>
    </w:p>
    <w:p w14:paraId="13F9980A">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3.引进的人才团队入选浙江省创新创业团队项目，每项得100分；</w:t>
      </w:r>
    </w:p>
    <w:p w14:paraId="0DAC7C50">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highlight w:val="none"/>
          <w:lang w:val="en-US" w:eastAsia="zh-CN"/>
        </w:rPr>
        <w:t>4.引进人才（团队）取得科技前沿领域重大标志性成果，每项得100分；</w:t>
      </w:r>
    </w:p>
    <w:p w14:paraId="224370CE">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三、奖励政策</w:t>
      </w:r>
    </w:p>
    <w:p w14:paraId="26E5946C">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（一）科技型中小企业服务站考核实行量化赋分，按公益分+绩效分+加分-扣分（基准分50分）进行优良评选，得分40分以上的服务站考核优秀，30分以上的良好。</w:t>
      </w:r>
    </w:p>
    <w:p w14:paraId="736D884E">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（二）考核总分=公益分+绩效分+业务分，给予每考核分1000元的奖励，最高15万元。</w:t>
      </w:r>
    </w:p>
    <w:p w14:paraId="0C3C7955">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（三）实施末两位淘汰制，公益分+绩效分排名末两位的服务站运营单位取消驻站运营资格，由业务分靠前的非运营单位接任。</w:t>
      </w:r>
    </w:p>
    <w:p w14:paraId="64A2DE60">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（四）对科技服务联盟入驻中介按本细则业务分标准进行单体评价，排名靠前的列为运营单位候选，评价结果供企业选择科技服务时参考。</w:t>
      </w:r>
    </w:p>
    <w:p w14:paraId="79880544">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（五）科技人才服务中介给予每考核分1000元的奖励。</w:t>
      </w:r>
    </w:p>
    <w:p w14:paraId="329C6D00">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四、审核和兑现</w:t>
      </w:r>
    </w:p>
    <w:p w14:paraId="555D56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th"/>
        </w:rPr>
      </w:pPr>
      <w:r>
        <w:rPr>
          <w:rFonts w:hint="eastAsia" w:ascii="仿宋_GB2312" w:hAnsi="仿宋_GB2312" w:eastAsia="仿宋_GB2312" w:cs="仿宋_GB2312"/>
          <w:b w:val="0"/>
          <w:bCs w:val="0"/>
          <w:color w:val="auto"/>
          <w:kern w:val="2"/>
          <w:sz w:val="32"/>
          <w:szCs w:val="32"/>
          <w:lang w:val="en-US" w:eastAsia="zh-CN" w:bidi="th"/>
        </w:rPr>
        <w:t>科技人才服务中介需在规定时间内填写《</w:t>
      </w:r>
      <w:r>
        <w:rPr>
          <w:rFonts w:hint="eastAsia" w:ascii="仿宋_GB2312" w:hAnsi="仿宋_GB2312" w:eastAsia="仿宋_GB2312" w:cs="仿宋_GB2312"/>
          <w:color w:val="auto"/>
          <w:kern w:val="2"/>
          <w:sz w:val="32"/>
          <w:szCs w:val="32"/>
          <w:lang w:val="en-US" w:eastAsia="zh-CN" w:bidi="th"/>
        </w:rPr>
        <w:t>科技人才服务中介审核登记表</w:t>
      </w:r>
      <w:r>
        <w:rPr>
          <w:rFonts w:hint="eastAsia" w:ascii="仿宋_GB2312" w:hAnsi="仿宋_GB2312" w:eastAsia="仿宋_GB2312" w:cs="仿宋_GB2312"/>
          <w:b w:val="0"/>
          <w:bCs w:val="0"/>
          <w:color w:val="auto"/>
          <w:kern w:val="2"/>
          <w:sz w:val="32"/>
          <w:szCs w:val="32"/>
          <w:lang w:val="en-US" w:eastAsia="zh-CN" w:bidi="th"/>
        </w:rPr>
        <w:t>》向市科技局备案。</w:t>
      </w:r>
    </w:p>
    <w:p w14:paraId="10D2E01B">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申请奖励单位根据奖励标准向市科技局提出申请；市科技局审查后，经有关部门意见征询及网上7天公示无异议后，市科技局、市财政局联合发文并拨付奖励资金至单位。</w:t>
      </w:r>
    </w:p>
    <w:p w14:paraId="7A76F710">
      <w:pPr>
        <w:jc w:val="center"/>
        <w:rPr>
          <w:rFonts w:hint="eastAsia" w:ascii="仿宋_GB2312" w:hAnsi="仿宋_GB2312" w:eastAsia="仿宋_GB2312" w:cs="仿宋_GB2312"/>
          <w:color w:val="auto"/>
          <w:kern w:val="2"/>
          <w:sz w:val="32"/>
          <w:szCs w:val="32"/>
          <w:lang w:val="en-US" w:eastAsia="zh-CN" w:bidi="th"/>
        </w:rPr>
      </w:pPr>
    </w:p>
    <w:p w14:paraId="0B31CC49">
      <w:pPr>
        <w:jc w:val="center"/>
        <w:rPr>
          <w:rFonts w:hint="eastAsia" w:ascii="仿宋_GB2312" w:hAnsi="仿宋_GB2312" w:eastAsia="仿宋_GB2312" w:cs="仿宋_GB2312"/>
          <w:color w:val="auto"/>
          <w:kern w:val="2"/>
          <w:sz w:val="32"/>
          <w:szCs w:val="32"/>
          <w:lang w:val="en-US" w:eastAsia="zh-CN" w:bidi="th"/>
        </w:rPr>
      </w:pPr>
    </w:p>
    <w:p w14:paraId="2B0211F5">
      <w:pPr>
        <w:jc w:val="center"/>
        <w:rPr>
          <w:rFonts w:hint="eastAsia" w:ascii="仿宋_GB2312" w:hAnsi="仿宋_GB2312" w:eastAsia="仿宋_GB2312" w:cs="仿宋_GB2312"/>
          <w:color w:val="auto"/>
          <w:kern w:val="2"/>
          <w:sz w:val="32"/>
          <w:szCs w:val="32"/>
          <w:lang w:val="en-US" w:eastAsia="zh-CN" w:bidi="th"/>
        </w:rPr>
      </w:pPr>
    </w:p>
    <w:p w14:paraId="1E641E6A">
      <w:pPr>
        <w:jc w:val="center"/>
        <w:rPr>
          <w:rFonts w:hint="eastAsia" w:ascii="仿宋_GB2312" w:hAnsi="仿宋_GB2312" w:eastAsia="仿宋_GB2312" w:cs="仿宋_GB2312"/>
          <w:color w:val="auto"/>
          <w:kern w:val="2"/>
          <w:sz w:val="32"/>
          <w:szCs w:val="32"/>
          <w:lang w:val="en-US" w:eastAsia="zh-CN" w:bidi="th"/>
        </w:rPr>
      </w:pPr>
      <w:r>
        <w:rPr>
          <w:rFonts w:hint="eastAsia" w:ascii="仿宋_GB2312" w:hAnsi="仿宋_GB2312" w:eastAsia="仿宋_GB2312" w:cs="仿宋_GB2312"/>
          <w:color w:val="auto"/>
          <w:kern w:val="2"/>
          <w:sz w:val="32"/>
          <w:szCs w:val="32"/>
          <w:lang w:val="en-US" w:eastAsia="zh-CN" w:bidi="th"/>
        </w:rPr>
        <w:t>科技人才服务中介审核登记表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1"/>
        <w:gridCol w:w="2475"/>
        <w:gridCol w:w="705"/>
        <w:gridCol w:w="1095"/>
        <w:gridCol w:w="306"/>
        <w:gridCol w:w="759"/>
        <w:gridCol w:w="1471"/>
      </w:tblGrid>
      <w:tr w14:paraId="5F91B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711" w:type="dxa"/>
            <w:vAlign w:val="center"/>
          </w:tcPr>
          <w:p w14:paraId="20DB3B39">
            <w:pPr>
              <w:pStyle w:val="2"/>
              <w:ind w:left="0" w:leftChars="0" w:firstLine="0" w:firstLineChars="0"/>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申请单位</w:t>
            </w:r>
          </w:p>
        </w:tc>
        <w:tc>
          <w:tcPr>
            <w:tcW w:w="2475" w:type="dxa"/>
            <w:vAlign w:val="center"/>
          </w:tcPr>
          <w:p w14:paraId="338C0276">
            <w:pPr>
              <w:pStyle w:val="2"/>
              <w:jc w:val="center"/>
              <w:rPr>
                <w:rFonts w:hint="eastAsia" w:ascii="仿宋" w:hAnsi="仿宋" w:eastAsia="仿宋" w:cs="仿宋"/>
                <w:sz w:val="24"/>
                <w:szCs w:val="32"/>
                <w:vertAlign w:val="baseline"/>
                <w:lang w:val="en-US" w:eastAsia="zh-CN"/>
              </w:rPr>
            </w:pPr>
          </w:p>
        </w:tc>
        <w:tc>
          <w:tcPr>
            <w:tcW w:w="1800" w:type="dxa"/>
            <w:gridSpan w:val="2"/>
            <w:vAlign w:val="center"/>
          </w:tcPr>
          <w:p w14:paraId="00DA3FA1">
            <w:pPr>
              <w:pStyle w:val="2"/>
              <w:ind w:left="0" w:leftChars="0" w:firstLine="0" w:firstLineChars="0"/>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统一社会信用代码</w:t>
            </w:r>
          </w:p>
        </w:tc>
        <w:tc>
          <w:tcPr>
            <w:tcW w:w="2536" w:type="dxa"/>
            <w:gridSpan w:val="3"/>
            <w:vAlign w:val="center"/>
          </w:tcPr>
          <w:p w14:paraId="75849FB4">
            <w:pPr>
              <w:pStyle w:val="2"/>
              <w:jc w:val="center"/>
              <w:rPr>
                <w:rFonts w:hint="eastAsia" w:ascii="仿宋" w:hAnsi="仿宋" w:eastAsia="仿宋" w:cs="仿宋"/>
                <w:sz w:val="24"/>
                <w:szCs w:val="32"/>
                <w:vertAlign w:val="baseline"/>
                <w:lang w:val="en-US" w:eastAsia="zh-CN"/>
              </w:rPr>
            </w:pPr>
          </w:p>
        </w:tc>
      </w:tr>
      <w:tr w14:paraId="1B013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711" w:type="dxa"/>
            <w:vAlign w:val="center"/>
          </w:tcPr>
          <w:p w14:paraId="6530BF3F">
            <w:pPr>
              <w:pStyle w:val="2"/>
              <w:ind w:left="0" w:leftChars="0" w:firstLine="0" w:firstLineChars="0"/>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申报事项</w:t>
            </w:r>
          </w:p>
        </w:tc>
        <w:tc>
          <w:tcPr>
            <w:tcW w:w="6811" w:type="dxa"/>
            <w:gridSpan w:val="6"/>
            <w:vAlign w:val="center"/>
          </w:tcPr>
          <w:p w14:paraId="1B838232">
            <w:pPr>
              <w:pStyle w:val="2"/>
              <w:jc w:val="center"/>
              <w:rPr>
                <w:rFonts w:hint="eastAsia" w:ascii="仿宋" w:hAnsi="仿宋" w:eastAsia="仿宋" w:cs="仿宋"/>
                <w:sz w:val="24"/>
                <w:szCs w:val="32"/>
                <w:vertAlign w:val="baseline"/>
                <w:lang w:val="en-US" w:eastAsia="zh-CN"/>
              </w:rPr>
            </w:pPr>
          </w:p>
        </w:tc>
      </w:tr>
      <w:tr w14:paraId="330A5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711" w:type="dxa"/>
            <w:vAlign w:val="center"/>
          </w:tcPr>
          <w:p w14:paraId="5A76CCB8">
            <w:pPr>
              <w:pStyle w:val="2"/>
              <w:ind w:left="0" w:leftChars="0" w:firstLine="0" w:firstLineChars="0"/>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申报人（团队）</w:t>
            </w:r>
          </w:p>
        </w:tc>
        <w:tc>
          <w:tcPr>
            <w:tcW w:w="2475" w:type="dxa"/>
            <w:vAlign w:val="center"/>
          </w:tcPr>
          <w:p w14:paraId="06C5B1F0">
            <w:pPr>
              <w:pStyle w:val="2"/>
              <w:jc w:val="center"/>
              <w:rPr>
                <w:rFonts w:hint="eastAsia" w:ascii="仿宋" w:hAnsi="仿宋" w:eastAsia="仿宋" w:cs="仿宋"/>
                <w:sz w:val="24"/>
                <w:szCs w:val="32"/>
                <w:vertAlign w:val="baseline"/>
                <w:lang w:val="en-US" w:eastAsia="zh-CN"/>
              </w:rPr>
            </w:pPr>
          </w:p>
        </w:tc>
        <w:tc>
          <w:tcPr>
            <w:tcW w:w="705" w:type="dxa"/>
            <w:vAlign w:val="center"/>
          </w:tcPr>
          <w:p w14:paraId="3019AC2C">
            <w:pPr>
              <w:pStyle w:val="2"/>
              <w:ind w:left="0" w:leftChars="0" w:firstLine="0" w:firstLineChars="0"/>
              <w:jc w:val="both"/>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性别</w:t>
            </w:r>
          </w:p>
        </w:tc>
        <w:tc>
          <w:tcPr>
            <w:tcW w:w="1401" w:type="dxa"/>
            <w:gridSpan w:val="2"/>
            <w:vAlign w:val="center"/>
          </w:tcPr>
          <w:p w14:paraId="0AE70D35">
            <w:pPr>
              <w:pStyle w:val="2"/>
              <w:jc w:val="center"/>
              <w:rPr>
                <w:rFonts w:hint="eastAsia" w:ascii="仿宋" w:hAnsi="仿宋" w:eastAsia="仿宋" w:cs="仿宋"/>
                <w:sz w:val="24"/>
                <w:szCs w:val="32"/>
                <w:vertAlign w:val="baseline"/>
                <w:lang w:val="en-US" w:eastAsia="zh-CN"/>
              </w:rPr>
            </w:pPr>
          </w:p>
        </w:tc>
        <w:tc>
          <w:tcPr>
            <w:tcW w:w="759" w:type="dxa"/>
            <w:vAlign w:val="center"/>
          </w:tcPr>
          <w:p w14:paraId="7F19ADC8">
            <w:pPr>
              <w:pStyle w:val="2"/>
              <w:ind w:left="0" w:leftChars="0" w:firstLine="0" w:firstLineChars="0"/>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国籍</w:t>
            </w:r>
          </w:p>
        </w:tc>
        <w:tc>
          <w:tcPr>
            <w:tcW w:w="1471" w:type="dxa"/>
            <w:vAlign w:val="center"/>
          </w:tcPr>
          <w:p w14:paraId="471A9AF3">
            <w:pPr>
              <w:pStyle w:val="2"/>
              <w:jc w:val="center"/>
              <w:rPr>
                <w:rFonts w:hint="eastAsia" w:ascii="仿宋" w:hAnsi="仿宋" w:eastAsia="仿宋" w:cs="仿宋"/>
                <w:sz w:val="24"/>
                <w:szCs w:val="32"/>
                <w:vertAlign w:val="baseline"/>
                <w:lang w:val="en-US" w:eastAsia="zh-CN"/>
              </w:rPr>
            </w:pPr>
          </w:p>
        </w:tc>
      </w:tr>
      <w:tr w14:paraId="6A51A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711" w:type="dxa"/>
            <w:vAlign w:val="center"/>
          </w:tcPr>
          <w:p w14:paraId="3EB8F542">
            <w:pPr>
              <w:pStyle w:val="2"/>
              <w:ind w:left="0" w:leftChars="0" w:firstLine="0" w:firstLineChars="0"/>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从事领域</w:t>
            </w:r>
          </w:p>
        </w:tc>
        <w:tc>
          <w:tcPr>
            <w:tcW w:w="2475" w:type="dxa"/>
            <w:vAlign w:val="center"/>
          </w:tcPr>
          <w:p w14:paraId="12078C17">
            <w:pPr>
              <w:pStyle w:val="2"/>
              <w:jc w:val="center"/>
              <w:rPr>
                <w:rFonts w:hint="eastAsia" w:ascii="仿宋" w:hAnsi="仿宋" w:eastAsia="仿宋" w:cs="仿宋"/>
                <w:sz w:val="24"/>
                <w:szCs w:val="32"/>
                <w:vertAlign w:val="baseline"/>
                <w:lang w:val="en-US" w:eastAsia="zh-CN"/>
              </w:rPr>
            </w:pPr>
          </w:p>
        </w:tc>
        <w:tc>
          <w:tcPr>
            <w:tcW w:w="1800" w:type="dxa"/>
            <w:gridSpan w:val="2"/>
            <w:vAlign w:val="center"/>
          </w:tcPr>
          <w:p w14:paraId="2D7203CD">
            <w:pPr>
              <w:pStyle w:val="2"/>
              <w:ind w:left="0" w:leftChars="0" w:firstLine="0" w:firstLineChars="0"/>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所属镇街道</w:t>
            </w:r>
          </w:p>
        </w:tc>
        <w:tc>
          <w:tcPr>
            <w:tcW w:w="2536" w:type="dxa"/>
            <w:gridSpan w:val="3"/>
            <w:vAlign w:val="center"/>
          </w:tcPr>
          <w:p w14:paraId="75199A94">
            <w:pPr>
              <w:pStyle w:val="2"/>
              <w:jc w:val="center"/>
              <w:rPr>
                <w:rFonts w:hint="eastAsia" w:ascii="仿宋" w:hAnsi="仿宋" w:eastAsia="仿宋" w:cs="仿宋"/>
                <w:sz w:val="24"/>
                <w:szCs w:val="32"/>
                <w:vertAlign w:val="baseline"/>
                <w:lang w:val="en-US" w:eastAsia="zh-CN"/>
              </w:rPr>
            </w:pPr>
          </w:p>
        </w:tc>
      </w:tr>
      <w:tr w14:paraId="25AF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4" w:hRule="atLeast"/>
          <w:jc w:val="center"/>
        </w:trPr>
        <w:tc>
          <w:tcPr>
            <w:tcW w:w="1711" w:type="dxa"/>
            <w:vAlign w:val="center"/>
          </w:tcPr>
          <w:p w14:paraId="4F9408FE">
            <w:pPr>
              <w:pStyle w:val="2"/>
              <w:ind w:left="0" w:leftChars="0" w:firstLine="0" w:firstLineChars="0"/>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个人（团队）成就简述</w:t>
            </w:r>
          </w:p>
        </w:tc>
        <w:tc>
          <w:tcPr>
            <w:tcW w:w="6811" w:type="dxa"/>
            <w:gridSpan w:val="6"/>
            <w:vAlign w:val="center"/>
          </w:tcPr>
          <w:p w14:paraId="34D4B1B4">
            <w:pPr>
              <w:pStyle w:val="2"/>
              <w:ind w:left="0" w:leftChars="0" w:firstLine="0" w:firstLineChars="0"/>
              <w:jc w:val="both"/>
              <w:rPr>
                <w:rFonts w:hint="eastAsia" w:ascii="仿宋" w:hAnsi="仿宋" w:eastAsia="仿宋" w:cs="仿宋"/>
                <w:sz w:val="24"/>
                <w:szCs w:val="32"/>
                <w:vertAlign w:val="baseline"/>
                <w:lang w:val="en-US" w:eastAsia="zh-CN"/>
              </w:rPr>
            </w:pPr>
          </w:p>
        </w:tc>
      </w:tr>
      <w:tr w14:paraId="58C6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1" w:hRule="atLeast"/>
          <w:jc w:val="center"/>
        </w:trPr>
        <w:tc>
          <w:tcPr>
            <w:tcW w:w="1711" w:type="dxa"/>
            <w:vAlign w:val="center"/>
          </w:tcPr>
          <w:p w14:paraId="1824F64C">
            <w:pPr>
              <w:pStyle w:val="2"/>
              <w:ind w:left="0" w:leftChars="0" w:firstLine="0" w:firstLineChars="0"/>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镇街道经发办</w:t>
            </w:r>
          </w:p>
        </w:tc>
        <w:tc>
          <w:tcPr>
            <w:tcW w:w="2475" w:type="dxa"/>
            <w:vAlign w:val="center"/>
          </w:tcPr>
          <w:p w14:paraId="2B798EAC">
            <w:pPr>
              <w:pStyle w:val="2"/>
              <w:ind w:left="0" w:leftChars="0" w:firstLine="0" w:firstLineChars="0"/>
              <w:jc w:val="both"/>
              <w:rPr>
                <w:rFonts w:hint="eastAsia" w:ascii="仿宋" w:hAnsi="仿宋" w:eastAsia="仿宋" w:cs="仿宋"/>
                <w:sz w:val="24"/>
                <w:szCs w:val="32"/>
                <w:vertAlign w:val="baseline"/>
                <w:lang w:val="en-US" w:eastAsia="zh-CN"/>
              </w:rPr>
            </w:pPr>
          </w:p>
          <w:p w14:paraId="44C2531E">
            <w:pPr>
              <w:pStyle w:val="2"/>
              <w:ind w:left="0" w:leftChars="0" w:firstLine="0" w:firstLineChars="0"/>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（盖章）</w:t>
            </w:r>
          </w:p>
          <w:p w14:paraId="0C3D8208">
            <w:pPr>
              <w:pStyle w:val="2"/>
              <w:jc w:val="center"/>
              <w:rPr>
                <w:rFonts w:hint="eastAsia" w:ascii="仿宋" w:hAnsi="仿宋" w:eastAsia="仿宋" w:cs="仿宋"/>
                <w:sz w:val="24"/>
                <w:szCs w:val="32"/>
                <w:vertAlign w:val="baseline"/>
                <w:lang w:val="en-US" w:eastAsia="zh-CN"/>
              </w:rPr>
            </w:pPr>
          </w:p>
          <w:p w14:paraId="4C16E4E2">
            <w:pPr>
              <w:pStyle w:val="2"/>
              <w:jc w:val="center"/>
              <w:rPr>
                <w:rFonts w:hint="eastAsia" w:ascii="仿宋" w:hAnsi="仿宋" w:eastAsia="仿宋" w:cs="仿宋"/>
                <w:sz w:val="24"/>
                <w:szCs w:val="32"/>
                <w:vertAlign w:val="baseline"/>
                <w:lang w:val="en-US" w:eastAsia="zh-CN"/>
              </w:rPr>
            </w:pPr>
          </w:p>
          <w:p w14:paraId="5604F086">
            <w:pPr>
              <w:pStyle w:val="2"/>
              <w:jc w:val="center"/>
              <w:rPr>
                <w:rFonts w:hint="eastAsia" w:ascii="仿宋" w:hAnsi="仿宋" w:eastAsia="仿宋" w:cs="仿宋"/>
                <w:sz w:val="24"/>
                <w:szCs w:val="32"/>
                <w:vertAlign w:val="baseline"/>
                <w:lang w:val="en-US" w:eastAsia="zh-CN"/>
              </w:rPr>
            </w:pPr>
          </w:p>
          <w:p w14:paraId="19F5F5A5">
            <w:pPr>
              <w:pStyle w:val="2"/>
              <w:wordWrap w:val="0"/>
              <w:ind w:left="0" w:leftChars="0" w:firstLine="0" w:firstLineChars="0"/>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日期:</w:t>
            </w:r>
          </w:p>
        </w:tc>
        <w:tc>
          <w:tcPr>
            <w:tcW w:w="1800" w:type="dxa"/>
            <w:gridSpan w:val="2"/>
            <w:vAlign w:val="center"/>
          </w:tcPr>
          <w:p w14:paraId="05604085">
            <w:pPr>
              <w:pStyle w:val="2"/>
              <w:jc w:val="center"/>
              <w:rPr>
                <w:rFonts w:hint="eastAsia" w:ascii="仿宋" w:hAnsi="仿宋" w:eastAsia="仿宋" w:cs="仿宋"/>
                <w:sz w:val="24"/>
                <w:szCs w:val="32"/>
                <w:vertAlign w:val="baseline"/>
                <w:lang w:val="en-US" w:eastAsia="zh-CN"/>
              </w:rPr>
            </w:pPr>
          </w:p>
          <w:p w14:paraId="7292FD89">
            <w:pPr>
              <w:pStyle w:val="2"/>
              <w:ind w:left="0" w:leftChars="0" w:firstLine="0" w:firstLineChars="0"/>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市科技局</w:t>
            </w:r>
          </w:p>
          <w:p w14:paraId="761975D7">
            <w:pPr>
              <w:pStyle w:val="2"/>
              <w:ind w:left="0" w:leftChars="0" w:firstLine="0" w:firstLineChars="0"/>
              <w:jc w:val="center"/>
              <w:rPr>
                <w:rFonts w:hint="eastAsia" w:ascii="仿宋" w:hAnsi="仿宋" w:eastAsia="仿宋" w:cs="仿宋"/>
                <w:sz w:val="24"/>
                <w:szCs w:val="32"/>
                <w:vertAlign w:val="baseline"/>
                <w:lang w:val="en-US" w:eastAsia="zh-CN"/>
              </w:rPr>
            </w:pPr>
          </w:p>
        </w:tc>
        <w:tc>
          <w:tcPr>
            <w:tcW w:w="2536" w:type="dxa"/>
            <w:gridSpan w:val="3"/>
            <w:vAlign w:val="center"/>
          </w:tcPr>
          <w:p w14:paraId="1AE40F7C">
            <w:pPr>
              <w:pStyle w:val="2"/>
              <w:ind w:left="0" w:leftChars="0" w:firstLine="0" w:firstLineChars="0"/>
              <w:jc w:val="both"/>
              <w:rPr>
                <w:rFonts w:hint="eastAsia" w:ascii="仿宋" w:hAnsi="仿宋" w:eastAsia="仿宋" w:cs="仿宋"/>
                <w:sz w:val="24"/>
                <w:szCs w:val="32"/>
                <w:vertAlign w:val="baseline"/>
                <w:lang w:val="en-US" w:eastAsia="zh-CN"/>
              </w:rPr>
            </w:pPr>
          </w:p>
          <w:p w14:paraId="775F68FE">
            <w:pPr>
              <w:pStyle w:val="2"/>
              <w:ind w:left="0" w:leftChars="0" w:firstLine="0" w:firstLineChars="0"/>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（盖章）</w:t>
            </w:r>
          </w:p>
          <w:p w14:paraId="1FFDBF62">
            <w:pPr>
              <w:pStyle w:val="2"/>
              <w:jc w:val="center"/>
              <w:rPr>
                <w:rFonts w:hint="eastAsia" w:ascii="仿宋" w:hAnsi="仿宋" w:eastAsia="仿宋" w:cs="仿宋"/>
                <w:sz w:val="24"/>
                <w:szCs w:val="32"/>
                <w:vertAlign w:val="baseline"/>
                <w:lang w:val="en-US" w:eastAsia="zh-CN"/>
              </w:rPr>
            </w:pPr>
          </w:p>
          <w:p w14:paraId="0B5FB385">
            <w:pPr>
              <w:pStyle w:val="2"/>
              <w:jc w:val="center"/>
              <w:rPr>
                <w:rFonts w:hint="eastAsia" w:ascii="仿宋" w:hAnsi="仿宋" w:eastAsia="仿宋" w:cs="仿宋"/>
                <w:sz w:val="24"/>
                <w:szCs w:val="32"/>
                <w:vertAlign w:val="baseline"/>
                <w:lang w:val="en-US" w:eastAsia="zh-CN"/>
              </w:rPr>
            </w:pPr>
          </w:p>
          <w:p w14:paraId="2B4DFAE8">
            <w:pPr>
              <w:pStyle w:val="2"/>
              <w:jc w:val="center"/>
              <w:rPr>
                <w:rFonts w:hint="eastAsia" w:ascii="仿宋" w:hAnsi="仿宋" w:eastAsia="仿宋" w:cs="仿宋"/>
                <w:sz w:val="24"/>
                <w:szCs w:val="32"/>
                <w:vertAlign w:val="baseline"/>
                <w:lang w:val="en-US" w:eastAsia="zh-CN"/>
              </w:rPr>
            </w:pPr>
          </w:p>
          <w:p w14:paraId="3948BB52">
            <w:pPr>
              <w:pStyle w:val="2"/>
              <w:ind w:left="0" w:leftChars="0" w:firstLine="0" w:firstLineChars="0"/>
              <w:jc w:val="center"/>
              <w:rPr>
                <w:rFonts w:hint="eastAsia" w:ascii="仿宋" w:hAnsi="仿宋" w:eastAsia="仿宋" w:cs="仿宋"/>
                <w:sz w:val="24"/>
                <w:szCs w:val="32"/>
                <w:vertAlign w:val="baseline"/>
                <w:lang w:val="en-US" w:eastAsia="zh-CN"/>
              </w:rPr>
            </w:pPr>
            <w:r>
              <w:rPr>
                <w:rFonts w:hint="eastAsia" w:ascii="仿宋" w:hAnsi="仿宋" w:eastAsia="仿宋" w:cs="仿宋"/>
                <w:sz w:val="24"/>
                <w:szCs w:val="32"/>
                <w:vertAlign w:val="baseline"/>
                <w:lang w:val="en-US" w:eastAsia="zh-CN"/>
              </w:rPr>
              <w:t>日期:</w:t>
            </w:r>
          </w:p>
        </w:tc>
      </w:tr>
    </w:tbl>
    <w:p w14:paraId="18024ACD">
      <w:pPr>
        <w:pStyle w:val="2"/>
        <w:rPr>
          <w:rFonts w:hint="default" w:eastAsia="宋体"/>
          <w:lang w:val="en-US" w:eastAsia="zh-CN"/>
        </w:rPr>
        <w:sectPr>
          <w:pgSz w:w="11906" w:h="16838"/>
          <w:pgMar w:top="2098" w:right="1474" w:bottom="1984" w:left="1587" w:header="851" w:footer="992" w:gutter="0"/>
          <w:cols w:space="425" w:num="1"/>
          <w:docGrid w:type="lines" w:linePitch="312" w:charSpace="0"/>
        </w:sectPr>
      </w:pPr>
      <w:r>
        <w:rPr>
          <w:rFonts w:hint="eastAsia"/>
          <w:lang w:val="en-US" w:eastAsia="zh-CN"/>
        </w:rPr>
        <w:t>注：登记表+申报材料均一式两份，一份由科技人才服务中介，另一份留市科技局备案。</w:t>
      </w:r>
    </w:p>
    <w:p w14:paraId="2BD17D93">
      <w:pPr>
        <w:pStyle w:val="5"/>
        <w:keepNext w:val="0"/>
        <w:keepLines w:val="0"/>
        <w:pageBreakBefore w:val="0"/>
        <w:widowControl/>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kern w:val="2"/>
          <w:sz w:val="32"/>
          <w:szCs w:val="32"/>
          <w:lang w:val="en-US" w:eastAsia="zh-CN" w:bidi="th"/>
        </w:rPr>
      </w:pPr>
      <w:r>
        <w:rPr>
          <w:rFonts w:hint="eastAsia" w:ascii="仿宋_GB2312" w:hAnsi="仿宋_GB2312" w:eastAsia="仿宋_GB2312" w:cs="仿宋_GB2312"/>
          <w:color w:val="auto"/>
          <w:kern w:val="2"/>
          <w:sz w:val="32"/>
          <w:szCs w:val="32"/>
          <w:lang w:val="en-US" w:eastAsia="zh-CN" w:bidi="th"/>
        </w:rPr>
        <w:t>附件8</w:t>
      </w:r>
    </w:p>
    <w:p w14:paraId="403181F5">
      <w:pPr>
        <w:jc w:val="center"/>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lang w:val="en-US" w:eastAsia="zh-CN"/>
        </w:rPr>
        <w:t>2024年科技服务</w:t>
      </w:r>
      <w:r>
        <w:rPr>
          <w:rFonts w:hint="eastAsia" w:ascii="方正小标宋简体" w:hAnsi="方正小标宋简体" w:eastAsia="方正小标宋简体" w:cs="方正小标宋简体"/>
          <w:b w:val="0"/>
          <w:bCs/>
          <w:kern w:val="0"/>
          <w:sz w:val="44"/>
          <w:szCs w:val="44"/>
        </w:rPr>
        <w:t>政策实施细则</w:t>
      </w:r>
    </w:p>
    <w:p w14:paraId="28DEBE2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kern w:val="0"/>
          <w:sz w:val="32"/>
          <w:szCs w:val="32"/>
        </w:rPr>
      </w:pPr>
    </w:p>
    <w:p w14:paraId="329F1C4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黑体" w:hAnsi="黑体" w:eastAsia="黑体" w:cs="黑体"/>
          <w:b w:val="0"/>
          <w:bCs/>
          <w:color w:val="auto"/>
          <w:kern w:val="2"/>
          <w:sz w:val="32"/>
          <w:szCs w:val="32"/>
          <w:lang w:val="en-US" w:eastAsia="zh-CN" w:bidi="th"/>
        </w:rPr>
      </w:pPr>
      <w:r>
        <w:rPr>
          <w:rFonts w:hint="eastAsia" w:ascii="黑体" w:hAnsi="黑体" w:eastAsia="黑体" w:cs="黑体"/>
          <w:b w:val="0"/>
          <w:bCs/>
          <w:color w:val="auto"/>
          <w:kern w:val="2"/>
          <w:sz w:val="32"/>
          <w:szCs w:val="32"/>
          <w:lang w:val="en-US" w:eastAsia="zh-CN" w:bidi="th"/>
        </w:rPr>
        <w:t>一、补助对象</w:t>
      </w:r>
    </w:p>
    <w:p w14:paraId="5764994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b w:val="0"/>
          <w:bCs w:val="0"/>
          <w:color w:val="auto"/>
          <w:kern w:val="2"/>
          <w:sz w:val="32"/>
          <w:szCs w:val="32"/>
          <w:lang w:val="en-US" w:eastAsia="zh-CN" w:bidi="th"/>
        </w:rPr>
      </w:pPr>
      <w:r>
        <w:rPr>
          <w:rFonts w:hint="eastAsia" w:ascii="仿宋_GB2312" w:hAnsi="仿宋_GB2312" w:eastAsia="仿宋_GB2312" w:cs="仿宋_GB2312"/>
          <w:b w:val="0"/>
          <w:bCs w:val="0"/>
          <w:color w:val="auto"/>
          <w:kern w:val="2"/>
          <w:sz w:val="32"/>
          <w:szCs w:val="32"/>
          <w:lang w:val="en-US" w:eastAsia="zh-CN" w:bidi="th"/>
        </w:rPr>
        <w:t>向创新载体购买成果转化、技术服务的企业和创客。</w:t>
      </w:r>
    </w:p>
    <w:p w14:paraId="1867745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黑体" w:hAnsi="黑体" w:eastAsia="黑体" w:cs="黑体"/>
          <w:b w:val="0"/>
          <w:bCs/>
          <w:color w:val="auto"/>
          <w:kern w:val="2"/>
          <w:sz w:val="32"/>
          <w:szCs w:val="32"/>
          <w:lang w:val="en-US" w:eastAsia="zh-CN" w:bidi="th"/>
        </w:rPr>
      </w:pPr>
      <w:r>
        <w:rPr>
          <w:rFonts w:hint="eastAsia" w:ascii="黑体" w:hAnsi="黑体" w:eastAsia="黑体" w:cs="黑体"/>
          <w:b w:val="0"/>
          <w:bCs/>
          <w:color w:val="auto"/>
          <w:kern w:val="2"/>
          <w:sz w:val="32"/>
          <w:szCs w:val="32"/>
          <w:lang w:val="en-US" w:eastAsia="zh-CN" w:bidi="th"/>
        </w:rPr>
        <w:t>二、补助政策</w:t>
      </w:r>
    </w:p>
    <w:p w14:paraId="6F92DAE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成果转化券、技术服务券补助按《慈溪市创新券推广应用管理办法（修订）》（慈科〔2022〕35号）及《关于</w:t>
      </w:r>
      <w:r>
        <w:rPr>
          <w:rFonts w:hint="eastAsia" w:ascii="仿宋_GB2312" w:hAnsi="仿宋_GB2312" w:eastAsia="仿宋_GB2312" w:cs="仿宋_GB2312"/>
          <w:i w:val="0"/>
          <w:iCs w:val="0"/>
          <w:caps w:val="0"/>
          <w:color w:val="111111"/>
          <w:spacing w:val="0"/>
          <w:sz w:val="32"/>
          <w:szCs w:val="32"/>
          <w:shd w:val="clear" w:fill="FFFFFF"/>
        </w:rPr>
        <w:t>〈</w:t>
      </w:r>
      <w:r>
        <w:rPr>
          <w:rFonts w:hint="eastAsia" w:ascii="仿宋_GB2312" w:hAnsi="仿宋_GB2312" w:eastAsia="仿宋_GB2312" w:cs="仿宋_GB2312"/>
          <w:sz w:val="32"/>
          <w:szCs w:val="32"/>
          <w:lang w:val="en-US" w:eastAsia="zh-CN"/>
        </w:rPr>
        <w:t>慈溪市创新券推广应用管理办法（修订）</w:t>
      </w:r>
      <w:r>
        <w:rPr>
          <w:rFonts w:hint="eastAsia" w:ascii="仿宋_GB2312" w:hAnsi="仿宋_GB2312" w:eastAsia="仿宋_GB2312" w:cs="仿宋_GB2312"/>
          <w:i w:val="0"/>
          <w:iCs w:val="0"/>
          <w:caps w:val="0"/>
          <w:color w:val="111111"/>
          <w:spacing w:val="0"/>
          <w:sz w:val="32"/>
          <w:szCs w:val="32"/>
          <w:shd w:val="clear" w:fill="FFFFFF"/>
        </w:rPr>
        <w:t>〉</w:t>
      </w:r>
      <w:r>
        <w:rPr>
          <w:rFonts w:hint="eastAsia" w:ascii="仿宋_GB2312" w:hAnsi="仿宋_GB2312" w:eastAsia="仿宋_GB2312" w:cs="仿宋_GB2312"/>
          <w:sz w:val="32"/>
          <w:szCs w:val="32"/>
          <w:lang w:val="en-US" w:eastAsia="zh-CN"/>
        </w:rPr>
        <w:t>的补充规定》（慈科〔2023〕35号）</w:t>
      </w:r>
      <w:r>
        <w:rPr>
          <w:rFonts w:hint="eastAsia" w:ascii="仿宋_GB2312" w:hAnsi="仿宋_GB2312" w:eastAsia="仿宋_GB2312" w:cs="仿宋_GB2312"/>
          <w:b w:val="0"/>
          <w:bCs w:val="0"/>
          <w:color w:val="auto"/>
          <w:kern w:val="2"/>
          <w:sz w:val="32"/>
          <w:szCs w:val="32"/>
          <w:lang w:val="en-US" w:eastAsia="zh-CN" w:bidi="th"/>
        </w:rPr>
        <w:t>文件</w:t>
      </w:r>
      <w:r>
        <w:rPr>
          <w:rFonts w:hint="eastAsia" w:ascii="仿宋_GB2312" w:hAnsi="仿宋_GB2312" w:eastAsia="仿宋_GB2312" w:cs="仿宋_GB2312"/>
          <w:sz w:val="32"/>
          <w:szCs w:val="32"/>
          <w:lang w:val="en-US" w:eastAsia="zh-CN"/>
        </w:rPr>
        <w:t>标准执行。</w:t>
      </w:r>
    </w:p>
    <w:p w14:paraId="4160E17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黑体" w:hAnsi="黑体" w:eastAsia="黑体" w:cs="黑体"/>
          <w:b w:val="0"/>
          <w:bCs/>
          <w:color w:val="auto"/>
          <w:kern w:val="2"/>
          <w:sz w:val="32"/>
          <w:szCs w:val="32"/>
          <w:lang w:val="en-US" w:eastAsia="zh-CN" w:bidi="th"/>
        </w:rPr>
      </w:pPr>
      <w:r>
        <w:rPr>
          <w:rFonts w:hint="eastAsia" w:ascii="黑体" w:hAnsi="黑体" w:eastAsia="黑体" w:cs="黑体"/>
          <w:b w:val="0"/>
          <w:bCs/>
          <w:color w:val="auto"/>
          <w:kern w:val="2"/>
          <w:sz w:val="32"/>
          <w:szCs w:val="32"/>
          <w:lang w:val="en-US" w:eastAsia="zh-CN" w:bidi="th"/>
        </w:rPr>
        <w:t>三、审核和兑现</w:t>
      </w:r>
    </w:p>
    <w:p w14:paraId="0CFE3E5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auto"/>
          <w:kern w:val="2"/>
          <w:sz w:val="32"/>
          <w:szCs w:val="32"/>
          <w:lang w:val="en-US" w:eastAsia="zh-CN" w:bidi="th"/>
        </w:rPr>
      </w:pPr>
      <w:r>
        <w:rPr>
          <w:rFonts w:hint="eastAsia" w:ascii="仿宋_GB2312" w:hAnsi="仿宋_GB2312" w:eastAsia="仿宋_GB2312" w:cs="仿宋_GB2312"/>
          <w:b w:val="0"/>
          <w:bCs w:val="0"/>
          <w:color w:val="auto"/>
          <w:kern w:val="2"/>
          <w:sz w:val="32"/>
          <w:szCs w:val="32"/>
          <w:lang w:val="en-US" w:eastAsia="zh-CN" w:bidi="th"/>
        </w:rPr>
        <w:t>（一）</w:t>
      </w:r>
      <w:r>
        <w:rPr>
          <w:rFonts w:hint="eastAsia" w:ascii="仿宋_GB2312" w:hAnsi="仿宋_GB2312" w:eastAsia="仿宋_GB2312" w:cs="仿宋_GB2312"/>
          <w:color w:val="auto"/>
          <w:kern w:val="2"/>
          <w:sz w:val="32"/>
          <w:szCs w:val="32"/>
          <w:lang w:val="en-US" w:eastAsia="zh-CN" w:bidi="th"/>
        </w:rPr>
        <w:t>申请奖励单位根据</w:t>
      </w:r>
      <w:r>
        <w:rPr>
          <w:rFonts w:hint="eastAsia" w:ascii="仿宋_GB2312" w:hAnsi="仿宋_GB2312" w:eastAsia="仿宋_GB2312" w:cs="仿宋_GB2312"/>
          <w:sz w:val="32"/>
          <w:szCs w:val="32"/>
          <w:lang w:val="en-US" w:eastAsia="zh-CN"/>
        </w:rPr>
        <w:t>创新券管理办法</w:t>
      </w:r>
      <w:r>
        <w:rPr>
          <w:rFonts w:hint="eastAsia" w:ascii="仿宋_GB2312" w:hAnsi="仿宋_GB2312" w:eastAsia="仿宋_GB2312" w:cs="仿宋_GB2312"/>
          <w:color w:val="auto"/>
          <w:kern w:val="2"/>
          <w:sz w:val="32"/>
          <w:szCs w:val="32"/>
          <w:lang w:val="en-US" w:eastAsia="zh-CN" w:bidi="th"/>
        </w:rPr>
        <w:t>向市科技局提出申请。</w:t>
      </w:r>
    </w:p>
    <w:p w14:paraId="2D4A893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kern w:val="2"/>
          <w:sz w:val="32"/>
          <w:szCs w:val="32"/>
          <w:lang w:val="en-US" w:eastAsia="zh-CN" w:bidi="th"/>
        </w:rPr>
        <w:t>（二）市科技局审查后，经有关部门意见征询及网上7天公示无异议后，</w:t>
      </w:r>
      <w:r>
        <w:rPr>
          <w:rFonts w:hint="eastAsia" w:ascii="仿宋_GB2312" w:hAnsi="仿宋_GB2312" w:eastAsia="仿宋_GB2312" w:cs="仿宋_GB2312"/>
          <w:color w:val="auto"/>
          <w:sz w:val="32"/>
          <w:szCs w:val="32"/>
          <w:lang w:val="en-US" w:eastAsia="zh-CN"/>
        </w:rPr>
        <w:t>市科技局、市财政局联合发文并拨付奖励资金至单位。</w:t>
      </w:r>
    </w:p>
    <w:p w14:paraId="4B71DEE4">
      <w:pPr>
        <w:pStyle w:val="2"/>
        <w:rPr>
          <w:rFonts w:hint="eastAsia" w:ascii="仿宋_GB2312" w:hAnsi="仿宋_GB2312" w:eastAsia="仿宋_GB2312" w:cs="仿宋_GB2312"/>
          <w:sz w:val="32"/>
          <w:szCs w:val="32"/>
        </w:rPr>
      </w:pPr>
    </w:p>
    <w:p w14:paraId="692701F6">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lang w:val="en-US" w:eastAsia="zh-CN" w:bidi="th"/>
        </w:rPr>
      </w:pPr>
    </w:p>
    <w:p w14:paraId="77FBFD4C">
      <w:pPr>
        <w:pStyle w:val="5"/>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p>
    <w:sectPr>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A4F7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A8D4E9">
                          <w:pPr>
                            <w:pStyle w:val="9"/>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BA8D4E9">
                    <w:pPr>
                      <w:pStyle w:val="9"/>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FmMDIwOTExODkyODZlOWQzYWRlYzU5YWVjNDA3NDcifQ=="/>
  </w:docVars>
  <w:rsids>
    <w:rsidRoot w:val="00000000"/>
    <w:rsid w:val="01A612A6"/>
    <w:rsid w:val="02CA65B7"/>
    <w:rsid w:val="04046799"/>
    <w:rsid w:val="171D7052"/>
    <w:rsid w:val="17EE7C04"/>
    <w:rsid w:val="1FBB0818"/>
    <w:rsid w:val="28383426"/>
    <w:rsid w:val="285D0F86"/>
    <w:rsid w:val="2E62471D"/>
    <w:rsid w:val="3080798E"/>
    <w:rsid w:val="355E204D"/>
    <w:rsid w:val="372B706F"/>
    <w:rsid w:val="3B074F95"/>
    <w:rsid w:val="3EF913BF"/>
    <w:rsid w:val="3F6333C2"/>
    <w:rsid w:val="416D2A40"/>
    <w:rsid w:val="48B30830"/>
    <w:rsid w:val="53547EAA"/>
    <w:rsid w:val="53E160EB"/>
    <w:rsid w:val="56A60D27"/>
    <w:rsid w:val="651346D9"/>
    <w:rsid w:val="6599206A"/>
    <w:rsid w:val="728266FC"/>
    <w:rsid w:val="77342206"/>
    <w:rsid w:val="7A3E7BC1"/>
    <w:rsid w:val="7C640D1E"/>
    <w:rsid w:val="FCFEC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8">
    <w:name w:val="heading 1"/>
    <w:basedOn w:val="1"/>
    <w:next w:val="1"/>
    <w:link w:val="14"/>
    <w:qFormat/>
    <w:uiPriority w:val="0"/>
    <w:pPr>
      <w:keepNext/>
      <w:keepLines/>
      <w:spacing w:beforeLines="0" w:beforeAutospacing="0" w:after="100" w:afterLines="100" w:afterAutospacing="0" w:line="240" w:lineRule="auto"/>
      <w:jc w:val="center"/>
      <w:outlineLvl w:val="0"/>
    </w:pPr>
    <w:rPr>
      <w:rFonts w:eastAsia="方正小标宋简体" w:asciiTheme="minorAscii" w:hAnsiTheme="minorAscii"/>
      <w:kern w:val="44"/>
      <w:sz w:val="32"/>
      <w:szCs w:val="2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5"/>
    <w:qFormat/>
    <w:uiPriority w:val="99"/>
    <w:pPr>
      <w:ind w:firstLine="420" w:firstLineChars="100"/>
    </w:pPr>
  </w:style>
  <w:style w:type="paragraph" w:styleId="3">
    <w:name w:val="Body Text"/>
    <w:basedOn w:val="1"/>
    <w:next w:val="4"/>
    <w:qFormat/>
    <w:uiPriority w:val="99"/>
    <w:pPr>
      <w:spacing w:after="120"/>
    </w:pPr>
  </w:style>
  <w:style w:type="paragraph" w:styleId="4">
    <w:name w:val="Subtitle"/>
    <w:basedOn w:val="1"/>
    <w:next w:val="1"/>
    <w:qFormat/>
    <w:uiPriority w:val="0"/>
    <w:pPr>
      <w:spacing w:before="240" w:after="60" w:line="312" w:lineRule="auto"/>
      <w:ind w:firstLine="200" w:firstLineChars="200"/>
      <w:jc w:val="left"/>
      <w:outlineLvl w:val="1"/>
    </w:pPr>
    <w:rPr>
      <w:rFonts w:ascii="等线" w:hAnsi="等线" w:eastAsia="楷体" w:cs="Times New Roman"/>
      <w:b/>
      <w:bCs/>
      <w:kern w:val="28"/>
      <w:szCs w:val="32"/>
    </w:rPr>
  </w:style>
  <w:style w:type="paragraph" w:styleId="5">
    <w:name w:val="Body Text First Indent 2"/>
    <w:basedOn w:val="6"/>
    <w:qFormat/>
    <w:uiPriority w:val="99"/>
    <w:pPr>
      <w:ind w:firstLine="420"/>
    </w:pPr>
    <w:rPr>
      <w:rFonts w:ascii="Calibri" w:eastAsia="宋体"/>
    </w:rPr>
  </w:style>
  <w:style w:type="paragraph" w:styleId="6">
    <w:name w:val="Body Text Indent"/>
    <w:basedOn w:val="1"/>
    <w:next w:val="7"/>
    <w:qFormat/>
    <w:uiPriority w:val="99"/>
    <w:pPr>
      <w:widowControl/>
      <w:spacing w:line="360" w:lineRule="auto"/>
      <w:ind w:firstLine="560"/>
    </w:pPr>
    <w:rPr>
      <w:rFonts w:ascii="仿宋_GB2312" w:eastAsia="仿宋_GB2312"/>
      <w:kern w:val="0"/>
      <w:sz w:val="28"/>
      <w:szCs w:val="28"/>
    </w:rPr>
  </w:style>
  <w:style w:type="paragraph" w:styleId="7">
    <w:name w:val="Normal Indent"/>
    <w:basedOn w:val="1"/>
    <w:qFormat/>
    <w:uiPriority w:val="99"/>
    <w:pPr>
      <w:ind w:firstLine="420" w:firstLine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标题 1 Char"/>
    <w:link w:val="8"/>
    <w:qFormat/>
    <w:uiPriority w:val="0"/>
    <w:rPr>
      <w:rFonts w:eastAsia="方正小标宋简体" w:asciiTheme="minorAscii" w:hAnsiTheme="minorAscii"/>
      <w:kern w:val="44"/>
      <w:sz w:val="32"/>
      <w:szCs w:val="22"/>
    </w:rPr>
  </w:style>
  <w:style w:type="paragraph" w:customStyle="1" w:styleId="15">
    <w:name w:val="Table Text"/>
    <w:basedOn w:val="1"/>
    <w:semiHidden/>
    <w:qFormat/>
    <w:uiPriority w:val="0"/>
    <w:rPr>
      <w:rFonts w:ascii="仿宋" w:hAnsi="仿宋" w:eastAsia="仿宋" w:cs="仿宋"/>
      <w:sz w:val="24"/>
      <w:szCs w:val="24"/>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10781</Words>
  <Characters>11349</Characters>
  <Lines>0</Lines>
  <Paragraphs>0</Paragraphs>
  <TotalTime>1</TotalTime>
  <ScaleCrop>false</ScaleCrop>
  <LinksUpToDate>false</LinksUpToDate>
  <CharactersWithSpaces>11349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2023-04-11T08:37:00Z</dcterms:created>
  <dc:creator>Administrator</dc:creator>
  <cp:lastModifiedBy>徐韵</cp:lastModifiedBy>
  <cp:lastPrinted>2024-10-14T14:06:00Z</cp:lastPrinted>
  <dcterms:modified xsi:type="dcterms:W3CDTF">2025-12-03T10:07:29Z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D405E16BDD436362619B2F69B2787798_43</vt:lpwstr>
  </property>
</Properties>
</file>