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drawings/drawing1.xml" ContentType="application/vnd.openxmlformats-officedocument.drawingml.chartshapes+xml"/>
  <Override PartName="/word/charts/chart2.xml" ContentType="application/vnd.openxmlformats-officedocument.drawingml.chart+xml"/>
  <Override PartName="/word/drawings/drawing2.xml" ContentType="application/vnd.openxmlformats-officedocument.drawingml.chartshapes+xml"/>
  <Override PartName="/word/charts/chart3.xml" ContentType="application/vnd.openxmlformats-officedocument.drawingml.chart+xml"/>
  <Override PartName="/word/drawings/drawing3.xml" ContentType="application/vnd.openxmlformats-officedocument.drawingml.chartshapes+xml"/>
  <Override PartName="/word/charts/chart4.xml" ContentType="application/vnd.openxmlformats-officedocument.drawingml.chart+xml"/>
  <Override PartName="/word/charts/chart5.xml" ContentType="application/vnd.openxmlformats-officedocument.drawingml.chart+xml"/>
  <Override PartName="/word/drawings/drawing4.xml" ContentType="application/vnd.openxmlformats-officedocument.drawingml.chartshapes+xml"/>
  <Override PartName="/word/charts/chart6.xml" ContentType="application/vnd.openxmlformats-officedocument.drawingml.chart+xml"/>
  <Override PartName="/word/drawings/drawing5.xml" ContentType="application/vnd.openxmlformats-officedocument.drawingml.chartshapes+xml"/>
  <Override PartName="/word/charts/chart7.xml" ContentType="application/vnd.openxmlformats-officedocument.drawingml.chart+xml"/>
  <Override PartName="/word/drawings/drawing6.xml" ContentType="application/vnd.openxmlformats-officedocument.drawingml.chartshapes+xml"/>
  <Override PartName="/word/charts/chart8.xml" ContentType="application/vnd.openxmlformats-officedocument.drawingml.chart+xml"/>
  <Override PartName="/word/drawings/drawing7.xml" ContentType="application/vnd.openxmlformats-officedocument.drawingml.chartshapes+xml"/>
  <Override PartName="/word/charts/chart9.xml" ContentType="application/vnd.openxmlformats-officedocument.drawingml.chart+xml"/>
  <Override PartName="/word/drawings/drawing8.xml" ContentType="application/vnd.openxmlformats-officedocument.drawingml.chartshapes+xml"/>
  <Override PartName="/word/charts/chart10.xml" ContentType="application/vnd.openxmlformats-officedocument.drawingml.chart+xml"/>
  <Override PartName="/word/drawings/drawing9.xml" ContentType="application/vnd.openxmlformats-officedocument.drawingml.chartshapes+xml"/>
  <Override PartName="/word/charts/chart11.xml" ContentType="application/vnd.openxmlformats-officedocument.drawingml.chart+xml"/>
  <Override PartName="/word/drawings/drawing10.xml" ContentType="application/vnd.openxmlformats-officedocument.drawingml.chartshapes+xml"/>
  <Override PartName="/word/charts/chart12.xml" ContentType="application/vnd.openxmlformats-officedocument.drawingml.chart+xml"/>
  <Override PartName="/word/drawings/drawing11.xml" ContentType="application/vnd.openxmlformats-officedocument.drawingml.chartshapes+xml"/>
  <Override PartName="/word/charts/chart13.xml" ContentType="application/vnd.openxmlformats-officedocument.drawingml.chart+xml"/>
  <Override PartName="/word/drawings/drawing12.xml" ContentType="application/vnd.openxmlformats-officedocument.drawingml.chartshapes+xml"/>
  <Override PartName="/word/charts/chart14.xml" ContentType="application/vnd.openxmlformats-officedocument.drawingml.chart+xml"/>
  <Override PartName="/word/drawings/drawing13.xml" ContentType="application/vnd.openxmlformats-officedocument.drawingml.chartshapes+xml"/>
  <Override PartName="/word/charts/chart15.xml" ContentType="application/vnd.openxmlformats-officedocument.drawingml.chart+xml"/>
  <Override PartName="/word/charts/chart16.xml" ContentType="application/vnd.openxmlformats-officedocument.drawingml.chart+xml"/>
  <Override PartName="/word/drawings/drawing14.xml" ContentType="application/vnd.openxmlformats-officedocument.drawingml.chartshapes+xml"/>
  <Override PartName="/word/charts/chart17.xml" ContentType="application/vnd.openxmlformats-officedocument.drawingml.chart+xml"/>
  <Override PartName="/word/drawings/drawing15.xml" ContentType="application/vnd.openxmlformats-officedocument.drawingml.chartshapes+xml"/>
  <Override PartName="/word/charts/chart18.xml" ContentType="application/vnd.openxmlformats-officedocument.drawingml.chart+xml"/>
  <Override PartName="/word/drawings/drawing16.xml" ContentType="application/vnd.openxmlformats-officedocument.drawingml.chartshap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32488" w:rsidRDefault="00132488">
      <w:pPr>
        <w:spacing w:line="700" w:lineRule="exact"/>
        <w:jc w:val="center"/>
        <w:rPr>
          <w:rFonts w:eastAsia="方正小标宋简体"/>
          <w:spacing w:val="20"/>
          <w:sz w:val="44"/>
          <w:szCs w:val="44"/>
        </w:rPr>
      </w:pPr>
    </w:p>
    <w:p w:rsidR="00F014A3" w:rsidRPr="00F212E7" w:rsidRDefault="00CD538F">
      <w:pPr>
        <w:spacing w:line="700" w:lineRule="exact"/>
        <w:jc w:val="center"/>
        <w:rPr>
          <w:rFonts w:eastAsia="方正小标宋简体"/>
          <w:spacing w:val="20"/>
          <w:sz w:val="44"/>
          <w:szCs w:val="44"/>
        </w:rPr>
      </w:pPr>
      <w:r w:rsidRPr="00F212E7">
        <w:rPr>
          <w:rFonts w:eastAsia="方正小标宋简体"/>
          <w:spacing w:val="20"/>
          <w:sz w:val="44"/>
          <w:szCs w:val="44"/>
        </w:rPr>
        <w:t>202</w:t>
      </w:r>
      <w:r w:rsidR="00FF6151" w:rsidRPr="00F212E7">
        <w:rPr>
          <w:rFonts w:eastAsia="方正小标宋简体" w:hint="eastAsia"/>
          <w:spacing w:val="20"/>
          <w:sz w:val="44"/>
          <w:szCs w:val="44"/>
        </w:rPr>
        <w:t>5</w:t>
      </w:r>
      <w:r w:rsidRPr="00F212E7">
        <w:rPr>
          <w:rFonts w:eastAsia="方正小标宋简体"/>
          <w:spacing w:val="20"/>
          <w:sz w:val="44"/>
          <w:szCs w:val="44"/>
        </w:rPr>
        <w:t>年义乌市国民经济和社会发展</w:t>
      </w:r>
    </w:p>
    <w:p w:rsidR="00F014A3" w:rsidRPr="00F212E7" w:rsidRDefault="00CD538F">
      <w:pPr>
        <w:spacing w:line="700" w:lineRule="exact"/>
        <w:jc w:val="center"/>
        <w:rPr>
          <w:rFonts w:eastAsia="方正小标宋简体"/>
          <w:spacing w:val="20"/>
          <w:sz w:val="44"/>
          <w:szCs w:val="44"/>
        </w:rPr>
      </w:pPr>
      <w:r w:rsidRPr="00F212E7">
        <w:rPr>
          <w:rFonts w:eastAsia="方正小标宋简体"/>
          <w:spacing w:val="20"/>
          <w:sz w:val="44"/>
          <w:szCs w:val="44"/>
        </w:rPr>
        <w:t>统计公报</w:t>
      </w:r>
    </w:p>
    <w:p w:rsidR="00F014A3" w:rsidRPr="00F212E7" w:rsidRDefault="00F014A3">
      <w:pPr>
        <w:spacing w:line="700" w:lineRule="exact"/>
        <w:jc w:val="center"/>
        <w:rPr>
          <w:rFonts w:eastAsia="方正小标宋简体"/>
          <w:spacing w:val="20"/>
          <w:sz w:val="44"/>
          <w:szCs w:val="44"/>
        </w:rPr>
      </w:pPr>
    </w:p>
    <w:p w:rsidR="00F014A3" w:rsidRPr="00F212E7" w:rsidRDefault="00CD538F">
      <w:pPr>
        <w:spacing w:line="560" w:lineRule="exact"/>
        <w:jc w:val="center"/>
        <w:outlineLvl w:val="0"/>
        <w:rPr>
          <w:rFonts w:eastAsia="仿宋_GB2312"/>
          <w:b/>
          <w:sz w:val="32"/>
        </w:rPr>
      </w:pPr>
      <w:r w:rsidRPr="00F212E7">
        <w:rPr>
          <w:rFonts w:eastAsia="仿宋_GB2312"/>
          <w:b/>
          <w:sz w:val="32"/>
        </w:rPr>
        <w:t>义乌市统计局</w:t>
      </w:r>
      <w:r w:rsidRPr="00F212E7">
        <w:rPr>
          <w:rFonts w:eastAsia="仿宋_GB2312"/>
          <w:b/>
          <w:sz w:val="32"/>
        </w:rPr>
        <w:t xml:space="preserve"> </w:t>
      </w:r>
      <w:r w:rsidRPr="00F212E7">
        <w:rPr>
          <w:rFonts w:eastAsia="仿宋_GB2312"/>
          <w:b/>
          <w:sz w:val="32"/>
        </w:rPr>
        <w:t>国家统计局义乌调查队</w:t>
      </w:r>
    </w:p>
    <w:p w:rsidR="00F014A3" w:rsidRPr="00F212E7" w:rsidRDefault="00F014A3">
      <w:pPr>
        <w:jc w:val="center"/>
        <w:rPr>
          <w:rFonts w:eastAsia="仿宋_GB2312"/>
          <w:b/>
          <w:sz w:val="32"/>
        </w:rPr>
      </w:pPr>
    </w:p>
    <w:p w:rsidR="00876C0C" w:rsidRPr="00F212E7" w:rsidRDefault="00CD538F" w:rsidP="00641ED5">
      <w:pPr>
        <w:spacing w:line="560" w:lineRule="exact"/>
        <w:ind w:firstLineChars="200" w:firstLine="640"/>
        <w:rPr>
          <w:rFonts w:eastAsia="仿宋_GB2312"/>
          <w:bCs/>
          <w:caps/>
          <w:sz w:val="32"/>
          <w:szCs w:val="32"/>
        </w:rPr>
      </w:pPr>
      <w:r w:rsidRPr="00F212E7">
        <w:rPr>
          <w:rFonts w:eastAsia="仿宋_GB2312" w:hint="eastAsia"/>
          <w:bCs/>
          <w:caps/>
          <w:sz w:val="32"/>
          <w:szCs w:val="32"/>
        </w:rPr>
        <w:t>202</w:t>
      </w:r>
      <w:r w:rsidR="00876C0C" w:rsidRPr="00F212E7">
        <w:rPr>
          <w:rFonts w:eastAsia="仿宋_GB2312" w:hint="eastAsia"/>
          <w:bCs/>
          <w:caps/>
          <w:sz w:val="32"/>
          <w:szCs w:val="32"/>
        </w:rPr>
        <w:t>5</w:t>
      </w:r>
      <w:r w:rsidRPr="00F212E7">
        <w:rPr>
          <w:rFonts w:eastAsia="仿宋_GB2312" w:hint="eastAsia"/>
          <w:bCs/>
          <w:caps/>
          <w:sz w:val="32"/>
          <w:szCs w:val="32"/>
        </w:rPr>
        <w:t>年，全市</w:t>
      </w:r>
      <w:r w:rsidR="00876C0C" w:rsidRPr="00F212E7">
        <w:rPr>
          <w:rFonts w:eastAsia="仿宋_GB2312" w:hint="eastAsia"/>
          <w:bCs/>
          <w:caps/>
          <w:sz w:val="32"/>
          <w:szCs w:val="32"/>
        </w:rPr>
        <w:t>坚持以习近平新时代中国特色社会主义思想为指导，全面贯彻党的二十大和二十届历次全会精神，坚定扛起深化义乌国际贸易综合改革和中欧班列集结中心建设政治任务，忠实</w:t>
      </w:r>
      <w:bookmarkStart w:id="0" w:name="_GoBack"/>
      <w:bookmarkEnd w:id="0"/>
      <w:r w:rsidR="00876C0C" w:rsidRPr="00F212E7">
        <w:rPr>
          <w:rFonts w:eastAsia="仿宋_GB2312" w:hint="eastAsia"/>
          <w:bCs/>
          <w:caps/>
          <w:sz w:val="32"/>
          <w:szCs w:val="32"/>
        </w:rPr>
        <w:t>践行“八八战略”，紧扣省委“</w:t>
      </w:r>
      <w:r w:rsidR="00876C0C" w:rsidRPr="00F212E7">
        <w:rPr>
          <w:rFonts w:eastAsia="仿宋_GB2312" w:hint="eastAsia"/>
          <w:bCs/>
          <w:caps/>
          <w:sz w:val="32"/>
          <w:szCs w:val="32"/>
        </w:rPr>
        <w:t>132</w:t>
      </w:r>
      <w:r w:rsidR="00876C0C" w:rsidRPr="00F212E7">
        <w:rPr>
          <w:rFonts w:eastAsia="仿宋_GB2312" w:hint="eastAsia"/>
          <w:bCs/>
          <w:caps/>
          <w:sz w:val="32"/>
          <w:szCs w:val="32"/>
        </w:rPr>
        <w:t>”总体工作部署，</w:t>
      </w:r>
      <w:r w:rsidR="00641ED5" w:rsidRPr="00F212E7">
        <w:rPr>
          <w:rFonts w:eastAsia="仿宋_GB2312" w:hint="eastAsia"/>
          <w:bCs/>
          <w:caps/>
          <w:sz w:val="32"/>
          <w:szCs w:val="32"/>
        </w:rPr>
        <w:t>深入实施“</w:t>
      </w:r>
      <w:r w:rsidR="00641ED5" w:rsidRPr="00F212E7">
        <w:rPr>
          <w:rFonts w:eastAsia="仿宋_GB2312" w:hint="eastAsia"/>
          <w:bCs/>
          <w:caps/>
          <w:sz w:val="32"/>
          <w:szCs w:val="32"/>
        </w:rPr>
        <w:t>146</w:t>
      </w:r>
      <w:r w:rsidR="00641ED5" w:rsidRPr="00F212E7">
        <w:rPr>
          <w:rFonts w:eastAsia="仿宋_GB2312" w:hint="eastAsia"/>
          <w:bCs/>
          <w:caps/>
          <w:sz w:val="32"/>
          <w:szCs w:val="32"/>
        </w:rPr>
        <w:t>”发展战略，</w:t>
      </w:r>
      <w:r w:rsidR="00876C0C" w:rsidRPr="00F212E7">
        <w:rPr>
          <w:rFonts w:eastAsia="仿宋_GB2312" w:hint="eastAsia"/>
          <w:bCs/>
          <w:caps/>
          <w:sz w:val="32"/>
          <w:szCs w:val="32"/>
        </w:rPr>
        <w:t>锚定“港”“廊”“链”主战场，坚持和深化“义乌发展经验”，扎实推动经济社会实现稳健快速发展</w:t>
      </w:r>
      <w:r w:rsidR="00641ED5" w:rsidRPr="00F212E7">
        <w:rPr>
          <w:rFonts w:eastAsia="仿宋_GB2312" w:hint="eastAsia"/>
          <w:bCs/>
          <w:caps/>
          <w:sz w:val="32"/>
          <w:szCs w:val="32"/>
        </w:rPr>
        <w:t>。</w:t>
      </w:r>
    </w:p>
    <w:p w:rsidR="00F014A3" w:rsidRPr="00F212E7" w:rsidRDefault="00CD538F" w:rsidP="00FB4CFD">
      <w:pPr>
        <w:spacing w:line="560" w:lineRule="exact"/>
        <w:ind w:firstLineChars="200" w:firstLine="723"/>
        <w:jc w:val="left"/>
        <w:outlineLvl w:val="0"/>
        <w:rPr>
          <w:rFonts w:eastAsia="仿宋_GB2312"/>
          <w:b/>
          <w:sz w:val="36"/>
        </w:rPr>
      </w:pPr>
      <w:r w:rsidRPr="00F212E7">
        <w:rPr>
          <w:rFonts w:eastAsia="仿宋_GB2312"/>
          <w:b/>
          <w:sz w:val="36"/>
        </w:rPr>
        <w:t>一、综合</w:t>
      </w:r>
    </w:p>
    <w:p w:rsidR="00F014A3" w:rsidRPr="00F212E7" w:rsidRDefault="00CD538F">
      <w:pPr>
        <w:spacing w:line="560" w:lineRule="exact"/>
        <w:ind w:firstLineChars="200" w:firstLine="640"/>
        <w:outlineLvl w:val="0"/>
        <w:rPr>
          <w:rFonts w:eastAsia="仿宋_GB2312"/>
          <w:kern w:val="0"/>
          <w:sz w:val="32"/>
          <w:szCs w:val="32"/>
        </w:rPr>
      </w:pPr>
      <w:r w:rsidRPr="00F212E7">
        <w:rPr>
          <w:rFonts w:eastAsia="仿宋_GB2312"/>
          <w:bCs/>
          <w:caps/>
          <w:sz w:val="32"/>
          <w:szCs w:val="32"/>
        </w:rPr>
        <w:t>初步核算，</w:t>
      </w:r>
      <w:bookmarkStart w:id="1" w:name="OLE_LINK27"/>
      <w:bookmarkStart w:id="2" w:name="OLE_LINK28"/>
      <w:r w:rsidRPr="00F212E7">
        <w:rPr>
          <w:rFonts w:eastAsia="仿宋_GB2312"/>
          <w:bCs/>
          <w:caps/>
          <w:sz w:val="32"/>
          <w:szCs w:val="32"/>
        </w:rPr>
        <w:t>202</w:t>
      </w:r>
      <w:r w:rsidR="00D63F5C" w:rsidRPr="00F212E7">
        <w:rPr>
          <w:rFonts w:eastAsia="仿宋_GB2312" w:hint="eastAsia"/>
          <w:bCs/>
          <w:caps/>
          <w:sz w:val="32"/>
          <w:szCs w:val="32"/>
        </w:rPr>
        <w:t>5</w:t>
      </w:r>
      <w:r w:rsidRPr="00F212E7">
        <w:rPr>
          <w:rFonts w:eastAsia="仿宋_GB2312"/>
          <w:bCs/>
          <w:caps/>
          <w:sz w:val="32"/>
          <w:szCs w:val="32"/>
        </w:rPr>
        <w:t>年全市实现地区生产总值（</w:t>
      </w:r>
      <w:r w:rsidRPr="00F212E7">
        <w:rPr>
          <w:rFonts w:eastAsia="仿宋_GB2312"/>
          <w:bCs/>
          <w:caps/>
          <w:sz w:val="32"/>
          <w:szCs w:val="32"/>
        </w:rPr>
        <w:t>GDP</w:t>
      </w:r>
      <w:r w:rsidRPr="00F212E7">
        <w:rPr>
          <w:rFonts w:eastAsia="仿宋_GB2312"/>
          <w:bCs/>
          <w:caps/>
          <w:sz w:val="32"/>
          <w:szCs w:val="32"/>
        </w:rPr>
        <w:t>）</w:t>
      </w:r>
      <w:r w:rsidR="00D63F5C" w:rsidRPr="00F212E7">
        <w:rPr>
          <w:rFonts w:eastAsia="仿宋_GB2312" w:hint="eastAsia"/>
          <w:bCs/>
          <w:caps/>
          <w:sz w:val="32"/>
          <w:szCs w:val="32"/>
        </w:rPr>
        <w:t>2693.26</w:t>
      </w:r>
      <w:r w:rsidRPr="00F212E7">
        <w:rPr>
          <w:rFonts w:eastAsia="仿宋_GB2312"/>
          <w:bCs/>
          <w:caps/>
          <w:sz w:val="32"/>
          <w:szCs w:val="32"/>
        </w:rPr>
        <w:t>亿元，按</w:t>
      </w:r>
      <w:r w:rsidRPr="00F212E7">
        <w:rPr>
          <w:rFonts w:eastAsia="仿宋_GB2312" w:hint="eastAsia"/>
          <w:bCs/>
          <w:caps/>
          <w:sz w:val="32"/>
          <w:szCs w:val="32"/>
        </w:rPr>
        <w:t>不变</w:t>
      </w:r>
      <w:r w:rsidRPr="00F212E7">
        <w:rPr>
          <w:rFonts w:eastAsia="仿宋_GB2312"/>
          <w:bCs/>
          <w:caps/>
          <w:sz w:val="32"/>
          <w:szCs w:val="32"/>
        </w:rPr>
        <w:t>价计算，</w:t>
      </w:r>
      <w:r w:rsidRPr="00F212E7">
        <w:rPr>
          <w:rFonts w:eastAsia="仿宋_GB2312" w:hint="eastAsia"/>
          <w:bCs/>
          <w:caps/>
          <w:sz w:val="32"/>
          <w:szCs w:val="32"/>
        </w:rPr>
        <w:t>比上年</w:t>
      </w:r>
      <w:r w:rsidRPr="00F212E7">
        <w:rPr>
          <w:rFonts w:eastAsia="仿宋_GB2312"/>
          <w:bCs/>
          <w:caps/>
          <w:sz w:val="32"/>
          <w:szCs w:val="32"/>
        </w:rPr>
        <w:t>增长</w:t>
      </w:r>
      <w:r w:rsidRPr="00F212E7">
        <w:rPr>
          <w:rFonts w:eastAsia="仿宋_GB2312" w:hint="eastAsia"/>
          <w:bCs/>
          <w:caps/>
          <w:sz w:val="32"/>
          <w:szCs w:val="32"/>
        </w:rPr>
        <w:t>7.</w:t>
      </w:r>
      <w:r w:rsidR="00D63F5C" w:rsidRPr="00F212E7">
        <w:rPr>
          <w:rFonts w:eastAsia="仿宋_GB2312" w:hint="eastAsia"/>
          <w:bCs/>
          <w:caps/>
          <w:sz w:val="32"/>
          <w:szCs w:val="32"/>
        </w:rPr>
        <w:t>9</w:t>
      </w:r>
      <w:r w:rsidRPr="00F212E7">
        <w:rPr>
          <w:rFonts w:eastAsia="仿宋_GB2312"/>
          <w:bCs/>
          <w:caps/>
          <w:sz w:val="32"/>
          <w:szCs w:val="32"/>
        </w:rPr>
        <w:t>%</w:t>
      </w:r>
      <w:r w:rsidRPr="00F212E7">
        <w:rPr>
          <w:rFonts w:eastAsia="仿宋_GB2312"/>
          <w:bCs/>
          <w:caps/>
          <w:sz w:val="32"/>
          <w:szCs w:val="32"/>
        </w:rPr>
        <w:t>。其中第一产业增加值</w:t>
      </w:r>
      <w:r w:rsidRPr="00F212E7">
        <w:rPr>
          <w:rFonts w:eastAsia="仿宋_GB2312" w:hint="eastAsia"/>
          <w:bCs/>
          <w:caps/>
          <w:sz w:val="32"/>
          <w:szCs w:val="32"/>
        </w:rPr>
        <w:t>28.</w:t>
      </w:r>
      <w:r w:rsidR="00D63F5C" w:rsidRPr="00F212E7">
        <w:rPr>
          <w:rFonts w:eastAsia="仿宋_GB2312" w:hint="eastAsia"/>
          <w:bCs/>
          <w:caps/>
          <w:sz w:val="32"/>
          <w:szCs w:val="32"/>
        </w:rPr>
        <w:t>89</w:t>
      </w:r>
      <w:r w:rsidRPr="00F212E7">
        <w:rPr>
          <w:rFonts w:eastAsia="仿宋_GB2312"/>
          <w:bCs/>
          <w:caps/>
          <w:sz w:val="32"/>
          <w:szCs w:val="32"/>
        </w:rPr>
        <w:t>亿元，增长</w:t>
      </w:r>
      <w:r w:rsidRPr="00F212E7">
        <w:rPr>
          <w:rFonts w:eastAsia="仿宋_GB2312"/>
          <w:bCs/>
          <w:caps/>
          <w:sz w:val="32"/>
          <w:szCs w:val="32"/>
        </w:rPr>
        <w:t>4.</w:t>
      </w:r>
      <w:r w:rsidR="00D63F5C" w:rsidRPr="00F212E7">
        <w:rPr>
          <w:rFonts w:eastAsia="仿宋_GB2312" w:hint="eastAsia"/>
          <w:bCs/>
          <w:caps/>
          <w:sz w:val="32"/>
          <w:szCs w:val="32"/>
        </w:rPr>
        <w:t>2</w:t>
      </w:r>
      <w:r w:rsidRPr="00F212E7">
        <w:rPr>
          <w:rFonts w:eastAsia="仿宋_GB2312"/>
          <w:bCs/>
          <w:caps/>
          <w:sz w:val="32"/>
          <w:szCs w:val="32"/>
        </w:rPr>
        <w:t>%</w:t>
      </w:r>
      <w:r w:rsidRPr="00F212E7">
        <w:rPr>
          <w:rFonts w:eastAsia="仿宋_GB2312"/>
          <w:bCs/>
          <w:caps/>
          <w:sz w:val="32"/>
          <w:szCs w:val="32"/>
        </w:rPr>
        <w:t>；第二产业增加值</w:t>
      </w:r>
      <w:r w:rsidRPr="00F212E7">
        <w:rPr>
          <w:rFonts w:eastAsia="仿宋_GB2312" w:hint="eastAsia"/>
          <w:bCs/>
          <w:caps/>
          <w:sz w:val="32"/>
          <w:szCs w:val="32"/>
        </w:rPr>
        <w:t>7</w:t>
      </w:r>
      <w:r w:rsidR="00D63F5C" w:rsidRPr="00F212E7">
        <w:rPr>
          <w:rFonts w:eastAsia="仿宋_GB2312" w:hint="eastAsia"/>
          <w:bCs/>
          <w:caps/>
          <w:sz w:val="32"/>
          <w:szCs w:val="32"/>
        </w:rPr>
        <w:t>72.88</w:t>
      </w:r>
      <w:r w:rsidRPr="00F212E7">
        <w:rPr>
          <w:rFonts w:eastAsia="仿宋_GB2312"/>
          <w:bCs/>
          <w:caps/>
          <w:sz w:val="32"/>
          <w:szCs w:val="32"/>
        </w:rPr>
        <w:t>亿元，增长</w:t>
      </w:r>
      <w:r w:rsidRPr="00F212E7">
        <w:rPr>
          <w:rFonts w:eastAsia="仿宋_GB2312" w:hint="eastAsia"/>
          <w:bCs/>
          <w:caps/>
          <w:sz w:val="32"/>
          <w:szCs w:val="32"/>
        </w:rPr>
        <w:t>7.</w:t>
      </w:r>
      <w:r w:rsidR="00D63F5C" w:rsidRPr="00F212E7">
        <w:rPr>
          <w:rFonts w:eastAsia="仿宋_GB2312" w:hint="eastAsia"/>
          <w:bCs/>
          <w:caps/>
          <w:sz w:val="32"/>
          <w:szCs w:val="32"/>
        </w:rPr>
        <w:t>6</w:t>
      </w:r>
      <w:r w:rsidRPr="00F212E7">
        <w:rPr>
          <w:rFonts w:eastAsia="仿宋_GB2312"/>
          <w:bCs/>
          <w:caps/>
          <w:sz w:val="32"/>
          <w:szCs w:val="32"/>
        </w:rPr>
        <w:t>%</w:t>
      </w:r>
      <w:r w:rsidRPr="00F212E7">
        <w:rPr>
          <w:rFonts w:eastAsia="仿宋_GB2312"/>
          <w:bCs/>
          <w:caps/>
          <w:sz w:val="32"/>
          <w:szCs w:val="32"/>
        </w:rPr>
        <w:t>；</w:t>
      </w:r>
      <w:bookmarkStart w:id="3" w:name="OLE_LINK60"/>
      <w:bookmarkStart w:id="4" w:name="OLE_LINK61"/>
      <w:r w:rsidRPr="00F212E7">
        <w:rPr>
          <w:rFonts w:eastAsia="仿宋_GB2312"/>
          <w:bCs/>
          <w:caps/>
          <w:sz w:val="32"/>
          <w:szCs w:val="32"/>
        </w:rPr>
        <w:t>第三产业增加值</w:t>
      </w:r>
      <w:r w:rsidRPr="00F212E7">
        <w:rPr>
          <w:rFonts w:eastAsia="仿宋_GB2312" w:hint="eastAsia"/>
          <w:bCs/>
          <w:caps/>
          <w:sz w:val="32"/>
          <w:szCs w:val="32"/>
        </w:rPr>
        <w:t>1</w:t>
      </w:r>
      <w:r w:rsidR="00D63F5C" w:rsidRPr="00F212E7">
        <w:rPr>
          <w:rFonts w:eastAsia="仿宋_GB2312" w:hint="eastAsia"/>
          <w:bCs/>
          <w:caps/>
          <w:sz w:val="32"/>
          <w:szCs w:val="32"/>
        </w:rPr>
        <w:t>891.49</w:t>
      </w:r>
      <w:r w:rsidRPr="00F212E7">
        <w:rPr>
          <w:rFonts w:eastAsia="仿宋_GB2312"/>
          <w:bCs/>
          <w:caps/>
          <w:sz w:val="32"/>
          <w:szCs w:val="32"/>
        </w:rPr>
        <w:t>亿元，增长</w:t>
      </w:r>
      <w:r w:rsidR="00D63F5C" w:rsidRPr="00F212E7">
        <w:rPr>
          <w:rFonts w:eastAsia="仿宋_GB2312" w:hint="eastAsia"/>
          <w:bCs/>
          <w:caps/>
          <w:sz w:val="32"/>
          <w:szCs w:val="32"/>
        </w:rPr>
        <w:t>8.0</w:t>
      </w:r>
      <w:r w:rsidRPr="00F212E7">
        <w:rPr>
          <w:rFonts w:eastAsia="仿宋_GB2312"/>
          <w:bCs/>
          <w:caps/>
          <w:sz w:val="32"/>
          <w:szCs w:val="32"/>
        </w:rPr>
        <w:t>%</w:t>
      </w:r>
      <w:r w:rsidRPr="00F212E7">
        <w:rPr>
          <w:rFonts w:eastAsia="仿宋_GB2312"/>
          <w:bCs/>
          <w:caps/>
          <w:sz w:val="32"/>
          <w:szCs w:val="32"/>
        </w:rPr>
        <w:t>。</w:t>
      </w:r>
      <w:bookmarkEnd w:id="1"/>
      <w:bookmarkEnd w:id="2"/>
      <w:bookmarkEnd w:id="3"/>
      <w:bookmarkEnd w:id="4"/>
      <w:r w:rsidRPr="00F212E7">
        <w:rPr>
          <w:rFonts w:eastAsia="仿宋_GB2312"/>
          <w:bCs/>
          <w:caps/>
          <w:sz w:val="32"/>
          <w:szCs w:val="32"/>
        </w:rPr>
        <w:t>全市按户籍人口计算人均</w:t>
      </w:r>
      <w:r w:rsidRPr="00F212E7">
        <w:rPr>
          <w:rFonts w:eastAsia="仿宋_GB2312" w:hint="eastAsia"/>
          <w:bCs/>
          <w:caps/>
          <w:sz w:val="32"/>
          <w:szCs w:val="32"/>
        </w:rPr>
        <w:t>地区</w:t>
      </w:r>
      <w:r w:rsidRPr="00F212E7">
        <w:rPr>
          <w:rFonts w:eastAsia="仿宋_GB2312"/>
          <w:bCs/>
          <w:caps/>
          <w:sz w:val="32"/>
          <w:szCs w:val="32"/>
        </w:rPr>
        <w:t>生产总值</w:t>
      </w:r>
      <w:bookmarkStart w:id="5" w:name="OLE_LINK33"/>
      <w:bookmarkStart w:id="6" w:name="OLE_LINK34"/>
      <w:r w:rsidR="00D63F5C" w:rsidRPr="00F212E7">
        <w:rPr>
          <w:rFonts w:eastAsia="仿宋_GB2312" w:hint="eastAsia"/>
          <w:bCs/>
          <w:caps/>
          <w:sz w:val="32"/>
          <w:szCs w:val="32"/>
        </w:rPr>
        <w:t>286125</w:t>
      </w:r>
      <w:bookmarkEnd w:id="5"/>
      <w:bookmarkEnd w:id="6"/>
      <w:r w:rsidRPr="00F212E7">
        <w:rPr>
          <w:rFonts w:eastAsia="仿宋_GB2312"/>
          <w:bCs/>
          <w:caps/>
          <w:sz w:val="32"/>
          <w:szCs w:val="32"/>
        </w:rPr>
        <w:t>元（按年平均汇率折算为</w:t>
      </w:r>
      <w:bookmarkStart w:id="7" w:name="OLE_LINK35"/>
      <w:bookmarkStart w:id="8" w:name="OLE_LINK36"/>
      <w:r w:rsidR="00D63F5C" w:rsidRPr="00F212E7">
        <w:rPr>
          <w:rFonts w:eastAsia="仿宋_GB2312" w:hint="eastAsia"/>
          <w:bCs/>
          <w:caps/>
          <w:sz w:val="32"/>
          <w:szCs w:val="32"/>
        </w:rPr>
        <w:t>40057</w:t>
      </w:r>
      <w:bookmarkEnd w:id="7"/>
      <w:bookmarkEnd w:id="8"/>
      <w:r w:rsidRPr="00F212E7">
        <w:rPr>
          <w:rFonts w:eastAsia="仿宋_GB2312"/>
          <w:bCs/>
          <w:caps/>
          <w:sz w:val="32"/>
          <w:szCs w:val="32"/>
        </w:rPr>
        <w:t>美元），增长</w:t>
      </w:r>
      <w:r w:rsidRPr="00F212E7">
        <w:rPr>
          <w:rFonts w:eastAsia="仿宋_GB2312"/>
          <w:bCs/>
          <w:caps/>
          <w:sz w:val="32"/>
          <w:szCs w:val="32"/>
        </w:rPr>
        <w:t>5.</w:t>
      </w:r>
      <w:r w:rsidR="00D63F5C" w:rsidRPr="00F212E7">
        <w:rPr>
          <w:rFonts w:eastAsia="仿宋_GB2312" w:hint="eastAsia"/>
          <w:bCs/>
          <w:caps/>
          <w:sz w:val="32"/>
          <w:szCs w:val="32"/>
        </w:rPr>
        <w:t>6</w:t>
      </w:r>
      <w:r w:rsidRPr="00F212E7">
        <w:rPr>
          <w:rFonts w:eastAsia="仿宋_GB2312" w:hint="eastAsia"/>
          <w:bCs/>
          <w:caps/>
          <w:sz w:val="32"/>
          <w:szCs w:val="32"/>
        </w:rPr>
        <w:t>%</w:t>
      </w:r>
      <w:r w:rsidRPr="00F212E7">
        <w:rPr>
          <w:rFonts w:eastAsia="仿宋_GB2312" w:hint="eastAsia"/>
          <w:bCs/>
          <w:caps/>
          <w:sz w:val="32"/>
          <w:szCs w:val="32"/>
        </w:rPr>
        <w:t>；</w:t>
      </w:r>
      <w:r w:rsidRPr="0028147A">
        <w:rPr>
          <w:rFonts w:eastAsia="仿宋_GB2312"/>
          <w:bCs/>
          <w:caps/>
          <w:sz w:val="32"/>
          <w:szCs w:val="32"/>
        </w:rPr>
        <w:t>按常住人口计算人均</w:t>
      </w:r>
      <w:r w:rsidRPr="0028147A">
        <w:rPr>
          <w:rFonts w:eastAsia="仿宋_GB2312"/>
          <w:bCs/>
          <w:caps/>
          <w:sz w:val="32"/>
          <w:szCs w:val="32"/>
        </w:rPr>
        <w:t>GDP</w:t>
      </w:r>
      <w:r w:rsidRPr="0028147A">
        <w:rPr>
          <w:rFonts w:eastAsia="仿宋_GB2312"/>
          <w:bCs/>
          <w:caps/>
          <w:sz w:val="32"/>
          <w:szCs w:val="32"/>
        </w:rPr>
        <w:t>达到</w:t>
      </w:r>
      <w:r w:rsidR="0028147A" w:rsidRPr="0028147A">
        <w:rPr>
          <w:rFonts w:eastAsia="仿宋_GB2312"/>
          <w:bCs/>
          <w:caps/>
          <w:sz w:val="32"/>
          <w:szCs w:val="32"/>
        </w:rPr>
        <w:t>1395</w:t>
      </w:r>
      <w:r w:rsidR="00CB4B25">
        <w:rPr>
          <w:rFonts w:eastAsia="仿宋_GB2312"/>
          <w:bCs/>
          <w:caps/>
          <w:sz w:val="32"/>
          <w:szCs w:val="32"/>
        </w:rPr>
        <w:t>07</w:t>
      </w:r>
      <w:r w:rsidRPr="0028147A">
        <w:rPr>
          <w:rFonts w:eastAsia="仿宋_GB2312"/>
          <w:bCs/>
          <w:caps/>
          <w:sz w:val="32"/>
          <w:szCs w:val="32"/>
        </w:rPr>
        <w:t>元，增长</w:t>
      </w:r>
      <w:r w:rsidR="0028147A" w:rsidRPr="0028147A">
        <w:rPr>
          <w:rFonts w:eastAsia="仿宋_GB2312"/>
          <w:bCs/>
          <w:caps/>
          <w:sz w:val="32"/>
          <w:szCs w:val="32"/>
        </w:rPr>
        <w:t>6.</w:t>
      </w:r>
      <w:r w:rsidR="00CB4B25">
        <w:rPr>
          <w:rFonts w:eastAsia="仿宋_GB2312"/>
          <w:bCs/>
          <w:caps/>
          <w:sz w:val="32"/>
          <w:szCs w:val="32"/>
        </w:rPr>
        <w:t>7</w:t>
      </w:r>
      <w:r w:rsidRPr="0028147A">
        <w:rPr>
          <w:rFonts w:eastAsia="仿宋_GB2312"/>
          <w:bCs/>
          <w:caps/>
          <w:sz w:val="32"/>
          <w:szCs w:val="32"/>
        </w:rPr>
        <w:t>%</w:t>
      </w:r>
      <w:r w:rsidRPr="0028147A">
        <w:rPr>
          <w:rFonts w:eastAsia="仿宋_GB2312"/>
          <w:bCs/>
          <w:caps/>
          <w:sz w:val="32"/>
          <w:szCs w:val="32"/>
        </w:rPr>
        <w:t>。</w:t>
      </w:r>
      <w:bookmarkStart w:id="9" w:name="OLE_LINK31"/>
      <w:bookmarkStart w:id="10" w:name="OLE_LINK32"/>
      <w:r w:rsidRPr="00F212E7">
        <w:rPr>
          <w:rFonts w:eastAsia="仿宋_GB2312"/>
          <w:bCs/>
          <w:caps/>
          <w:sz w:val="32"/>
          <w:szCs w:val="32"/>
        </w:rPr>
        <w:t>三次产业结构为</w:t>
      </w:r>
      <w:r w:rsidRPr="00F212E7">
        <w:rPr>
          <w:rFonts w:eastAsia="仿宋_GB2312"/>
          <w:bCs/>
          <w:caps/>
          <w:sz w:val="32"/>
          <w:szCs w:val="32"/>
        </w:rPr>
        <w:t>1.</w:t>
      </w:r>
      <w:r w:rsidRPr="00F212E7">
        <w:rPr>
          <w:rFonts w:eastAsia="仿宋_GB2312" w:hint="eastAsia"/>
          <w:bCs/>
          <w:caps/>
          <w:sz w:val="32"/>
          <w:szCs w:val="32"/>
        </w:rPr>
        <w:t>1</w:t>
      </w:r>
      <w:r w:rsidRPr="00F212E7">
        <w:rPr>
          <w:rFonts w:eastAsia="仿宋_GB2312"/>
          <w:bCs/>
          <w:caps/>
          <w:sz w:val="32"/>
          <w:szCs w:val="32"/>
        </w:rPr>
        <w:t>:</w:t>
      </w:r>
      <w:r w:rsidRPr="00F212E7">
        <w:rPr>
          <w:rFonts w:eastAsia="仿宋_GB2312" w:hint="eastAsia"/>
          <w:bCs/>
          <w:caps/>
          <w:sz w:val="32"/>
          <w:szCs w:val="32"/>
        </w:rPr>
        <w:t>28.7</w:t>
      </w:r>
      <w:r w:rsidRPr="00F212E7">
        <w:rPr>
          <w:rFonts w:eastAsia="仿宋_GB2312"/>
          <w:bCs/>
          <w:caps/>
          <w:sz w:val="32"/>
          <w:szCs w:val="32"/>
        </w:rPr>
        <w:t>:</w:t>
      </w:r>
      <w:r w:rsidRPr="00F212E7">
        <w:rPr>
          <w:rFonts w:eastAsia="仿宋_GB2312" w:hint="eastAsia"/>
          <w:bCs/>
          <w:caps/>
          <w:sz w:val="32"/>
          <w:szCs w:val="32"/>
        </w:rPr>
        <w:t>70.2</w:t>
      </w:r>
      <w:r w:rsidRPr="00F212E7">
        <w:rPr>
          <w:rFonts w:eastAsia="仿宋_GB2312"/>
          <w:bCs/>
          <w:caps/>
          <w:sz w:val="32"/>
          <w:szCs w:val="32"/>
        </w:rPr>
        <w:t>。</w:t>
      </w:r>
      <w:bookmarkEnd w:id="9"/>
      <w:bookmarkEnd w:id="10"/>
    </w:p>
    <w:p w:rsidR="00926576" w:rsidRPr="00F212E7" w:rsidRDefault="00926576" w:rsidP="00926576">
      <w:pPr>
        <w:spacing w:line="560" w:lineRule="exact"/>
        <w:ind w:firstLineChars="200" w:firstLine="640"/>
        <w:outlineLvl w:val="0"/>
        <w:rPr>
          <w:rFonts w:eastAsia="仿宋_GB2312"/>
          <w:bCs/>
          <w:caps/>
          <w:sz w:val="32"/>
          <w:szCs w:val="32"/>
        </w:rPr>
      </w:pPr>
      <w:r w:rsidRPr="00F212E7">
        <w:rPr>
          <w:rFonts w:eastAsia="仿宋_GB2312" w:hint="eastAsia"/>
          <w:bCs/>
          <w:caps/>
          <w:sz w:val="32"/>
          <w:szCs w:val="32"/>
        </w:rPr>
        <w:t>全年城镇新增就业</w:t>
      </w:r>
      <w:r w:rsidRPr="00F212E7">
        <w:rPr>
          <w:rFonts w:eastAsia="仿宋_GB2312" w:hint="eastAsia"/>
          <w:bCs/>
          <w:caps/>
          <w:sz w:val="32"/>
          <w:szCs w:val="32"/>
        </w:rPr>
        <w:t>40314</w:t>
      </w:r>
      <w:r w:rsidRPr="00F212E7">
        <w:rPr>
          <w:rFonts w:eastAsia="仿宋_GB2312" w:hint="eastAsia"/>
          <w:bCs/>
          <w:caps/>
          <w:sz w:val="32"/>
          <w:szCs w:val="32"/>
        </w:rPr>
        <w:t>人，城镇失业人员再就业</w:t>
      </w:r>
      <w:r w:rsidRPr="00F212E7">
        <w:rPr>
          <w:rFonts w:eastAsia="仿宋_GB2312" w:hint="eastAsia"/>
          <w:bCs/>
          <w:caps/>
          <w:sz w:val="32"/>
          <w:szCs w:val="32"/>
        </w:rPr>
        <w:t>5091</w:t>
      </w:r>
      <w:r w:rsidRPr="00F212E7">
        <w:rPr>
          <w:rFonts w:eastAsia="仿宋_GB2312" w:hint="eastAsia"/>
          <w:bCs/>
          <w:caps/>
          <w:sz w:val="32"/>
          <w:szCs w:val="32"/>
        </w:rPr>
        <w:t>人，其中就业困难人员再就业</w:t>
      </w:r>
      <w:r w:rsidRPr="00F212E7">
        <w:rPr>
          <w:rFonts w:eastAsia="仿宋_GB2312" w:hint="eastAsia"/>
          <w:bCs/>
          <w:caps/>
          <w:sz w:val="32"/>
          <w:szCs w:val="32"/>
        </w:rPr>
        <w:t>401</w:t>
      </w:r>
      <w:r w:rsidRPr="00F212E7">
        <w:rPr>
          <w:rFonts w:eastAsia="仿宋_GB2312" w:hint="eastAsia"/>
          <w:bCs/>
          <w:caps/>
          <w:sz w:val="32"/>
          <w:szCs w:val="32"/>
        </w:rPr>
        <w:t>人。年末城镇登记失业人</w:t>
      </w:r>
      <w:r w:rsidRPr="00F212E7">
        <w:rPr>
          <w:rFonts w:eastAsia="仿宋_GB2312" w:hint="eastAsia"/>
          <w:bCs/>
          <w:caps/>
          <w:sz w:val="32"/>
          <w:szCs w:val="32"/>
        </w:rPr>
        <w:lastRenderedPageBreak/>
        <w:t>员</w:t>
      </w:r>
      <w:r w:rsidRPr="00F212E7">
        <w:rPr>
          <w:rFonts w:eastAsia="仿宋_GB2312" w:hint="eastAsia"/>
          <w:bCs/>
          <w:caps/>
          <w:sz w:val="32"/>
          <w:szCs w:val="32"/>
        </w:rPr>
        <w:t>19358</w:t>
      </w:r>
      <w:r w:rsidRPr="00F212E7">
        <w:rPr>
          <w:rFonts w:eastAsia="仿宋_GB2312" w:hint="eastAsia"/>
          <w:bCs/>
          <w:caps/>
          <w:sz w:val="32"/>
          <w:szCs w:val="32"/>
        </w:rPr>
        <w:t>人。</w:t>
      </w:r>
    </w:p>
    <w:p w:rsidR="00F014A3" w:rsidRPr="00F212E7" w:rsidRDefault="00CD538F" w:rsidP="00FB4CFD">
      <w:pPr>
        <w:spacing w:line="560" w:lineRule="exact"/>
        <w:ind w:firstLineChars="200" w:firstLine="723"/>
        <w:outlineLvl w:val="0"/>
        <w:rPr>
          <w:rFonts w:eastAsia="仿宋_GB2312"/>
          <w:b/>
          <w:sz w:val="36"/>
        </w:rPr>
      </w:pPr>
      <w:r w:rsidRPr="00F212E7">
        <w:rPr>
          <w:rFonts w:eastAsia="仿宋_GB2312"/>
          <w:b/>
          <w:sz w:val="36"/>
        </w:rPr>
        <w:t>二、农业和新农村建设</w:t>
      </w:r>
    </w:p>
    <w:p w:rsidR="00C17C9B" w:rsidRPr="00F212E7" w:rsidRDefault="00C17C9B" w:rsidP="00C17C9B">
      <w:pPr>
        <w:spacing w:line="560" w:lineRule="exact"/>
        <w:ind w:firstLineChars="200" w:firstLine="640"/>
        <w:outlineLvl w:val="0"/>
        <w:rPr>
          <w:rFonts w:eastAsia="仿宋_GB2312"/>
          <w:bCs/>
          <w:caps/>
          <w:sz w:val="32"/>
          <w:szCs w:val="32"/>
        </w:rPr>
      </w:pPr>
      <w:r w:rsidRPr="00F212E7">
        <w:rPr>
          <w:rFonts w:eastAsia="仿宋_GB2312" w:hint="eastAsia"/>
          <w:bCs/>
          <w:caps/>
          <w:sz w:val="32"/>
          <w:szCs w:val="32"/>
        </w:rPr>
        <w:t>2025</w:t>
      </w:r>
      <w:r w:rsidRPr="00F212E7">
        <w:rPr>
          <w:rFonts w:eastAsia="仿宋_GB2312" w:hint="eastAsia"/>
          <w:bCs/>
          <w:caps/>
          <w:sz w:val="32"/>
          <w:szCs w:val="32"/>
        </w:rPr>
        <w:t>年</w:t>
      </w:r>
      <w:bookmarkStart w:id="11" w:name="OLE_LINK40"/>
      <w:bookmarkStart w:id="12" w:name="OLE_LINK41"/>
      <w:r w:rsidRPr="00F212E7">
        <w:rPr>
          <w:rFonts w:eastAsia="仿宋_GB2312" w:hint="eastAsia"/>
          <w:bCs/>
          <w:caps/>
          <w:sz w:val="32"/>
          <w:szCs w:val="32"/>
        </w:rPr>
        <w:t>全市完成农林牧渔业及其辅助活动总产值</w:t>
      </w:r>
      <w:r w:rsidRPr="00F212E7">
        <w:rPr>
          <w:rFonts w:eastAsia="仿宋_GB2312" w:hint="eastAsia"/>
          <w:bCs/>
          <w:caps/>
          <w:sz w:val="32"/>
          <w:szCs w:val="32"/>
        </w:rPr>
        <w:t>45.3</w:t>
      </w:r>
      <w:r w:rsidRPr="00F212E7">
        <w:rPr>
          <w:rFonts w:eastAsia="仿宋_GB2312" w:hint="eastAsia"/>
          <w:bCs/>
          <w:caps/>
          <w:sz w:val="32"/>
          <w:szCs w:val="32"/>
        </w:rPr>
        <w:t>亿元，比上年增长</w:t>
      </w:r>
      <w:r w:rsidRPr="00F212E7">
        <w:rPr>
          <w:rFonts w:eastAsia="仿宋_GB2312" w:hint="eastAsia"/>
          <w:bCs/>
          <w:caps/>
          <w:sz w:val="32"/>
          <w:szCs w:val="32"/>
        </w:rPr>
        <w:t>4.2%</w:t>
      </w:r>
      <w:r w:rsidRPr="00F212E7">
        <w:rPr>
          <w:rFonts w:eastAsia="仿宋_GB2312" w:hint="eastAsia"/>
          <w:bCs/>
          <w:caps/>
          <w:sz w:val="32"/>
          <w:szCs w:val="32"/>
        </w:rPr>
        <w:t>，实现农林牧渔业增加值</w:t>
      </w:r>
      <w:r w:rsidRPr="00F212E7">
        <w:rPr>
          <w:rFonts w:eastAsia="仿宋_GB2312" w:hint="eastAsia"/>
          <w:bCs/>
          <w:caps/>
          <w:sz w:val="32"/>
          <w:szCs w:val="32"/>
        </w:rPr>
        <w:t>29.53</w:t>
      </w:r>
      <w:r w:rsidRPr="00F212E7">
        <w:rPr>
          <w:rFonts w:eastAsia="仿宋_GB2312" w:hint="eastAsia"/>
          <w:bCs/>
          <w:caps/>
          <w:sz w:val="32"/>
          <w:szCs w:val="32"/>
        </w:rPr>
        <w:t>亿元，扣除价格因素，增长</w:t>
      </w:r>
      <w:r w:rsidRPr="00F212E7">
        <w:rPr>
          <w:rFonts w:eastAsia="仿宋_GB2312" w:hint="eastAsia"/>
          <w:bCs/>
          <w:caps/>
          <w:sz w:val="32"/>
          <w:szCs w:val="32"/>
        </w:rPr>
        <w:t>4.3%</w:t>
      </w:r>
      <w:r w:rsidRPr="00F212E7">
        <w:rPr>
          <w:rFonts w:eastAsia="仿宋_GB2312" w:hint="eastAsia"/>
          <w:bCs/>
          <w:caps/>
          <w:sz w:val="32"/>
          <w:szCs w:val="32"/>
        </w:rPr>
        <w:t>。</w:t>
      </w:r>
      <w:bookmarkEnd w:id="11"/>
      <w:bookmarkEnd w:id="12"/>
    </w:p>
    <w:p w:rsidR="00F014A3" w:rsidRPr="00F212E7" w:rsidRDefault="00CD538F">
      <w:pPr>
        <w:jc w:val="center"/>
        <w:rPr>
          <w:rFonts w:eastAsia="仿宋_GB2312"/>
          <w:kern w:val="0"/>
          <w:sz w:val="32"/>
          <w:szCs w:val="32"/>
        </w:rPr>
      </w:pPr>
      <w:r w:rsidRPr="00F212E7">
        <w:rPr>
          <w:rFonts w:eastAsia="仿宋_GB2312"/>
          <w:kern w:val="0"/>
          <w:sz w:val="24"/>
        </w:rPr>
        <w:t>图</w:t>
      </w:r>
      <w:r w:rsidRPr="00F212E7">
        <w:rPr>
          <w:rFonts w:eastAsia="仿宋_GB2312" w:hint="eastAsia"/>
          <w:kern w:val="0"/>
          <w:sz w:val="24"/>
        </w:rPr>
        <w:t xml:space="preserve">1  </w:t>
      </w:r>
      <w:r w:rsidRPr="00F212E7">
        <w:rPr>
          <w:rFonts w:eastAsia="仿宋_GB2312"/>
          <w:kern w:val="0"/>
          <w:sz w:val="24"/>
        </w:rPr>
        <w:t>20</w:t>
      </w:r>
      <w:r w:rsidRPr="00F212E7">
        <w:rPr>
          <w:rFonts w:eastAsia="仿宋_GB2312" w:hint="eastAsia"/>
          <w:kern w:val="0"/>
          <w:sz w:val="24"/>
        </w:rPr>
        <w:t>2</w:t>
      </w:r>
      <w:r w:rsidR="00C17C9B" w:rsidRPr="00F212E7">
        <w:rPr>
          <w:rFonts w:eastAsia="仿宋_GB2312" w:hint="eastAsia"/>
          <w:kern w:val="0"/>
          <w:sz w:val="24"/>
        </w:rPr>
        <w:t>1</w:t>
      </w:r>
      <w:r w:rsidRPr="00F212E7">
        <w:rPr>
          <w:rFonts w:eastAsia="仿宋_GB2312"/>
          <w:kern w:val="0"/>
          <w:sz w:val="24"/>
        </w:rPr>
        <w:t>-202</w:t>
      </w:r>
      <w:r w:rsidR="00C17C9B" w:rsidRPr="00F212E7">
        <w:rPr>
          <w:rFonts w:eastAsia="仿宋_GB2312" w:hint="eastAsia"/>
          <w:kern w:val="0"/>
          <w:sz w:val="24"/>
        </w:rPr>
        <w:t>5</w:t>
      </w:r>
      <w:r w:rsidRPr="00F212E7">
        <w:rPr>
          <w:rFonts w:eastAsia="仿宋_GB2312"/>
          <w:kern w:val="0"/>
          <w:sz w:val="24"/>
        </w:rPr>
        <w:t>年农林牧渔业增加值与增长速度</w:t>
      </w:r>
    </w:p>
    <w:p w:rsidR="00F014A3" w:rsidRPr="00F212E7" w:rsidRDefault="00C17C9B" w:rsidP="00C17C9B">
      <w:pPr>
        <w:ind w:firstLineChars="200" w:firstLine="420"/>
        <w:jc w:val="center"/>
        <w:rPr>
          <w:rFonts w:eastAsia="仿宋_GB2312"/>
          <w:kern w:val="0"/>
          <w:sz w:val="32"/>
          <w:szCs w:val="32"/>
        </w:rPr>
      </w:pPr>
      <w:r w:rsidRPr="00F212E7">
        <w:rPr>
          <w:noProof/>
        </w:rPr>
        <w:drawing>
          <wp:inline distT="0" distB="0" distL="0" distR="0" wp14:anchorId="2FE91A48" wp14:editId="1CA2165F">
            <wp:extent cx="4543425" cy="2933700"/>
            <wp:effectExtent l="0" t="0" r="9525" b="19050"/>
            <wp:docPr id="20" name="图表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C17C9B" w:rsidRPr="00F212E7" w:rsidRDefault="00C17C9B" w:rsidP="00C17C9B">
      <w:pPr>
        <w:spacing w:line="560" w:lineRule="exact"/>
        <w:ind w:firstLineChars="200" w:firstLine="640"/>
        <w:outlineLvl w:val="0"/>
        <w:rPr>
          <w:rFonts w:eastAsia="仿宋_GB2312"/>
          <w:bCs/>
          <w:caps/>
          <w:sz w:val="32"/>
          <w:szCs w:val="32"/>
        </w:rPr>
      </w:pPr>
      <w:r w:rsidRPr="00F212E7">
        <w:rPr>
          <w:rFonts w:eastAsia="仿宋_GB2312" w:hint="eastAsia"/>
          <w:bCs/>
          <w:caps/>
          <w:sz w:val="32"/>
          <w:szCs w:val="32"/>
        </w:rPr>
        <w:t>全市</w:t>
      </w:r>
      <w:bookmarkStart w:id="13" w:name="OLE_LINK42"/>
      <w:bookmarkStart w:id="14" w:name="OLE_LINK43"/>
      <w:r w:rsidRPr="00F212E7">
        <w:rPr>
          <w:rFonts w:eastAsia="仿宋_GB2312" w:hint="eastAsia"/>
          <w:bCs/>
          <w:caps/>
          <w:sz w:val="32"/>
          <w:szCs w:val="32"/>
        </w:rPr>
        <w:t>完成粮食播种面积</w:t>
      </w:r>
      <w:r w:rsidRPr="00F212E7">
        <w:rPr>
          <w:rFonts w:eastAsia="仿宋_GB2312" w:hint="eastAsia"/>
          <w:bCs/>
          <w:caps/>
          <w:sz w:val="32"/>
          <w:szCs w:val="32"/>
        </w:rPr>
        <w:t>13.36</w:t>
      </w:r>
      <w:r w:rsidRPr="00F212E7">
        <w:rPr>
          <w:rFonts w:eastAsia="仿宋_GB2312" w:hint="eastAsia"/>
          <w:bCs/>
          <w:caps/>
          <w:sz w:val="32"/>
          <w:szCs w:val="32"/>
        </w:rPr>
        <w:t>万亩，比上年下降</w:t>
      </w:r>
      <w:r w:rsidRPr="00F212E7">
        <w:rPr>
          <w:rFonts w:eastAsia="仿宋_GB2312" w:hint="eastAsia"/>
          <w:bCs/>
          <w:caps/>
          <w:sz w:val="32"/>
          <w:szCs w:val="32"/>
        </w:rPr>
        <w:t>0.4%</w:t>
      </w:r>
      <w:r w:rsidRPr="00F212E7">
        <w:rPr>
          <w:rFonts w:eastAsia="仿宋_GB2312" w:hint="eastAsia"/>
          <w:bCs/>
          <w:caps/>
          <w:sz w:val="32"/>
          <w:szCs w:val="32"/>
        </w:rPr>
        <w:t>，总产量</w:t>
      </w:r>
      <w:r w:rsidRPr="00F212E7">
        <w:rPr>
          <w:rFonts w:eastAsia="仿宋_GB2312" w:hint="eastAsia"/>
          <w:bCs/>
          <w:caps/>
          <w:sz w:val="32"/>
          <w:szCs w:val="32"/>
        </w:rPr>
        <w:t>4.9</w:t>
      </w:r>
      <w:r w:rsidRPr="00F212E7">
        <w:rPr>
          <w:rFonts w:eastAsia="仿宋_GB2312" w:hint="eastAsia"/>
          <w:bCs/>
          <w:caps/>
          <w:sz w:val="32"/>
          <w:szCs w:val="32"/>
        </w:rPr>
        <w:t>万吨，增长</w:t>
      </w:r>
      <w:r w:rsidRPr="00F212E7">
        <w:rPr>
          <w:rFonts w:eastAsia="仿宋_GB2312" w:hint="eastAsia"/>
          <w:bCs/>
          <w:caps/>
          <w:sz w:val="32"/>
          <w:szCs w:val="32"/>
        </w:rPr>
        <w:t>0.5%</w:t>
      </w:r>
      <w:r w:rsidRPr="00F212E7">
        <w:rPr>
          <w:rFonts w:eastAsia="仿宋_GB2312" w:hint="eastAsia"/>
          <w:bCs/>
          <w:caps/>
          <w:sz w:val="32"/>
          <w:szCs w:val="32"/>
        </w:rPr>
        <w:t>。全年种植蔬菜</w:t>
      </w:r>
      <w:r w:rsidRPr="00F212E7">
        <w:rPr>
          <w:rFonts w:eastAsia="仿宋_GB2312" w:hint="eastAsia"/>
          <w:bCs/>
          <w:caps/>
          <w:sz w:val="32"/>
          <w:szCs w:val="32"/>
        </w:rPr>
        <w:t>13.1</w:t>
      </w:r>
      <w:r w:rsidRPr="00F212E7">
        <w:rPr>
          <w:rFonts w:eastAsia="仿宋_GB2312" w:hint="eastAsia"/>
          <w:bCs/>
          <w:caps/>
          <w:sz w:val="32"/>
          <w:szCs w:val="32"/>
        </w:rPr>
        <w:t>万亩，与上年基本持平，收获蔬菜</w:t>
      </w:r>
      <w:r w:rsidRPr="00F212E7">
        <w:rPr>
          <w:rFonts w:eastAsia="仿宋_GB2312" w:hint="eastAsia"/>
          <w:bCs/>
          <w:caps/>
          <w:sz w:val="32"/>
          <w:szCs w:val="32"/>
        </w:rPr>
        <w:t>24.1</w:t>
      </w:r>
      <w:r w:rsidRPr="00F212E7">
        <w:rPr>
          <w:rFonts w:eastAsia="仿宋_GB2312" w:hint="eastAsia"/>
          <w:bCs/>
          <w:caps/>
          <w:sz w:val="32"/>
          <w:szCs w:val="32"/>
        </w:rPr>
        <w:t>万吨，增长</w:t>
      </w:r>
      <w:r w:rsidRPr="00F212E7">
        <w:rPr>
          <w:rFonts w:eastAsia="仿宋_GB2312" w:hint="eastAsia"/>
          <w:bCs/>
          <w:caps/>
          <w:sz w:val="32"/>
          <w:szCs w:val="32"/>
        </w:rPr>
        <w:t>1.5%</w:t>
      </w:r>
      <w:r w:rsidRPr="00F212E7">
        <w:rPr>
          <w:rFonts w:eastAsia="仿宋_GB2312" w:hint="eastAsia"/>
          <w:bCs/>
          <w:caps/>
          <w:sz w:val="32"/>
          <w:szCs w:val="32"/>
        </w:rPr>
        <w:t>。</w:t>
      </w:r>
      <w:bookmarkEnd w:id="13"/>
      <w:bookmarkEnd w:id="14"/>
      <w:r w:rsidRPr="00F212E7">
        <w:rPr>
          <w:rFonts w:eastAsia="仿宋_GB2312" w:hint="eastAsia"/>
          <w:bCs/>
          <w:caps/>
          <w:sz w:val="32"/>
          <w:szCs w:val="32"/>
        </w:rPr>
        <w:t>全市</w:t>
      </w:r>
      <w:bookmarkStart w:id="15" w:name="OLE_LINK44"/>
      <w:bookmarkStart w:id="16" w:name="OLE_LINK45"/>
      <w:r w:rsidRPr="00F212E7">
        <w:rPr>
          <w:rFonts w:eastAsia="仿宋_GB2312" w:hint="eastAsia"/>
          <w:bCs/>
          <w:caps/>
          <w:sz w:val="32"/>
          <w:szCs w:val="32"/>
        </w:rPr>
        <w:t>生猪存栏</w:t>
      </w:r>
      <w:r w:rsidRPr="00F212E7">
        <w:rPr>
          <w:rFonts w:eastAsia="仿宋_GB2312" w:hint="eastAsia"/>
          <w:bCs/>
          <w:caps/>
          <w:sz w:val="32"/>
          <w:szCs w:val="32"/>
        </w:rPr>
        <w:t>15.6</w:t>
      </w:r>
      <w:r w:rsidRPr="00F212E7">
        <w:rPr>
          <w:rFonts w:eastAsia="仿宋_GB2312" w:hint="eastAsia"/>
          <w:bCs/>
          <w:caps/>
          <w:sz w:val="32"/>
          <w:szCs w:val="32"/>
        </w:rPr>
        <w:t>万头（其中能繁母猪</w:t>
      </w:r>
      <w:r w:rsidRPr="00F212E7">
        <w:rPr>
          <w:rFonts w:eastAsia="仿宋_GB2312" w:hint="eastAsia"/>
          <w:bCs/>
          <w:caps/>
          <w:sz w:val="32"/>
          <w:szCs w:val="32"/>
        </w:rPr>
        <w:t>1.8</w:t>
      </w:r>
      <w:r w:rsidRPr="00F212E7">
        <w:rPr>
          <w:rFonts w:eastAsia="仿宋_GB2312" w:hint="eastAsia"/>
          <w:bCs/>
          <w:caps/>
          <w:sz w:val="32"/>
          <w:szCs w:val="32"/>
        </w:rPr>
        <w:t>万头），增长</w:t>
      </w:r>
      <w:r w:rsidRPr="00F212E7">
        <w:rPr>
          <w:rFonts w:eastAsia="仿宋_GB2312" w:hint="eastAsia"/>
          <w:bCs/>
          <w:caps/>
          <w:sz w:val="32"/>
          <w:szCs w:val="32"/>
        </w:rPr>
        <w:t>6.1%</w:t>
      </w:r>
      <w:r w:rsidRPr="00F212E7">
        <w:rPr>
          <w:rFonts w:eastAsia="仿宋_GB2312" w:hint="eastAsia"/>
          <w:bCs/>
          <w:caps/>
          <w:sz w:val="32"/>
          <w:szCs w:val="32"/>
        </w:rPr>
        <w:t>；累计出栏</w:t>
      </w:r>
      <w:r w:rsidRPr="00F212E7">
        <w:rPr>
          <w:rFonts w:eastAsia="仿宋_GB2312" w:hint="eastAsia"/>
          <w:bCs/>
          <w:caps/>
          <w:sz w:val="32"/>
          <w:szCs w:val="32"/>
        </w:rPr>
        <w:t>24.7</w:t>
      </w:r>
      <w:r w:rsidRPr="00F212E7">
        <w:rPr>
          <w:rFonts w:eastAsia="仿宋_GB2312" w:hint="eastAsia"/>
          <w:bCs/>
          <w:caps/>
          <w:sz w:val="32"/>
          <w:szCs w:val="32"/>
        </w:rPr>
        <w:t>万头，增长</w:t>
      </w:r>
      <w:r w:rsidRPr="00F212E7">
        <w:rPr>
          <w:rFonts w:eastAsia="仿宋_GB2312" w:hint="eastAsia"/>
          <w:bCs/>
          <w:caps/>
          <w:sz w:val="32"/>
          <w:szCs w:val="32"/>
        </w:rPr>
        <w:t>14.8%</w:t>
      </w:r>
      <w:r w:rsidRPr="00F212E7">
        <w:rPr>
          <w:rFonts w:eastAsia="仿宋_GB2312" w:hint="eastAsia"/>
          <w:bCs/>
          <w:caps/>
          <w:sz w:val="32"/>
          <w:szCs w:val="32"/>
        </w:rPr>
        <w:t>。家禽存栏</w:t>
      </w:r>
      <w:r w:rsidRPr="00F212E7">
        <w:rPr>
          <w:rFonts w:eastAsia="仿宋_GB2312" w:hint="eastAsia"/>
          <w:bCs/>
          <w:caps/>
          <w:sz w:val="32"/>
          <w:szCs w:val="32"/>
        </w:rPr>
        <w:t>171.9</w:t>
      </w:r>
      <w:r w:rsidR="00DD239E">
        <w:rPr>
          <w:rFonts w:eastAsia="仿宋_GB2312" w:hint="eastAsia"/>
          <w:bCs/>
          <w:caps/>
          <w:sz w:val="32"/>
          <w:szCs w:val="32"/>
        </w:rPr>
        <w:t>9</w:t>
      </w:r>
      <w:r w:rsidRPr="00F212E7">
        <w:rPr>
          <w:rFonts w:eastAsia="仿宋_GB2312" w:hint="eastAsia"/>
          <w:bCs/>
          <w:caps/>
          <w:sz w:val="32"/>
          <w:szCs w:val="32"/>
        </w:rPr>
        <w:t>万羽，增长</w:t>
      </w:r>
      <w:r w:rsidRPr="00F212E7">
        <w:rPr>
          <w:rFonts w:eastAsia="仿宋_GB2312" w:hint="eastAsia"/>
          <w:bCs/>
          <w:caps/>
          <w:sz w:val="32"/>
          <w:szCs w:val="32"/>
        </w:rPr>
        <w:t>14.</w:t>
      </w:r>
      <w:r w:rsidR="00DD239E">
        <w:rPr>
          <w:rFonts w:eastAsia="仿宋_GB2312" w:hint="eastAsia"/>
          <w:bCs/>
          <w:caps/>
          <w:sz w:val="32"/>
          <w:szCs w:val="32"/>
        </w:rPr>
        <w:t>6</w:t>
      </w:r>
      <w:r w:rsidRPr="00F212E7">
        <w:rPr>
          <w:rFonts w:eastAsia="仿宋_GB2312" w:hint="eastAsia"/>
          <w:bCs/>
          <w:caps/>
          <w:sz w:val="32"/>
          <w:szCs w:val="32"/>
        </w:rPr>
        <w:t>%</w:t>
      </w:r>
      <w:r w:rsidRPr="00F212E7">
        <w:rPr>
          <w:rFonts w:eastAsia="仿宋_GB2312" w:hint="eastAsia"/>
          <w:bCs/>
          <w:caps/>
          <w:sz w:val="32"/>
          <w:szCs w:val="32"/>
        </w:rPr>
        <w:t>；累计出栏</w:t>
      </w:r>
      <w:r w:rsidRPr="00F212E7">
        <w:rPr>
          <w:rFonts w:eastAsia="仿宋_GB2312" w:hint="eastAsia"/>
          <w:bCs/>
          <w:caps/>
          <w:sz w:val="32"/>
          <w:szCs w:val="32"/>
        </w:rPr>
        <w:t>1097.9</w:t>
      </w:r>
      <w:r w:rsidRPr="00F212E7">
        <w:rPr>
          <w:rFonts w:eastAsia="仿宋_GB2312" w:hint="eastAsia"/>
          <w:bCs/>
          <w:caps/>
          <w:sz w:val="32"/>
          <w:szCs w:val="32"/>
        </w:rPr>
        <w:t>万羽，增长</w:t>
      </w:r>
      <w:r w:rsidRPr="00F212E7">
        <w:rPr>
          <w:rFonts w:eastAsia="仿宋_GB2312" w:hint="eastAsia"/>
          <w:bCs/>
          <w:caps/>
          <w:sz w:val="32"/>
          <w:szCs w:val="32"/>
        </w:rPr>
        <w:t>1.0%</w:t>
      </w:r>
      <w:r w:rsidRPr="00F212E7">
        <w:rPr>
          <w:rFonts w:eastAsia="仿宋_GB2312" w:hint="eastAsia"/>
          <w:bCs/>
          <w:caps/>
          <w:sz w:val="32"/>
          <w:szCs w:val="32"/>
        </w:rPr>
        <w:t>。加强水产养殖绿色发展，做优稻小龙虾、稻鳖、稻蛙等稻渔综合种养模式，新增面积</w:t>
      </w:r>
      <w:r w:rsidRPr="00F212E7">
        <w:rPr>
          <w:rFonts w:eastAsia="仿宋_GB2312" w:hint="eastAsia"/>
          <w:bCs/>
          <w:caps/>
          <w:sz w:val="32"/>
          <w:szCs w:val="32"/>
        </w:rPr>
        <w:t>400</w:t>
      </w:r>
      <w:r w:rsidRPr="00F212E7">
        <w:rPr>
          <w:rFonts w:eastAsia="仿宋_GB2312" w:hint="eastAsia"/>
          <w:bCs/>
          <w:caps/>
          <w:sz w:val="32"/>
          <w:szCs w:val="32"/>
        </w:rPr>
        <w:t>亩。全年水产品产量</w:t>
      </w:r>
      <w:r w:rsidRPr="00F212E7">
        <w:rPr>
          <w:rFonts w:eastAsia="仿宋_GB2312" w:hint="eastAsia"/>
          <w:bCs/>
          <w:caps/>
          <w:sz w:val="32"/>
          <w:szCs w:val="32"/>
        </w:rPr>
        <w:t>4578</w:t>
      </w:r>
      <w:r w:rsidRPr="00F212E7">
        <w:rPr>
          <w:rFonts w:eastAsia="仿宋_GB2312" w:hint="eastAsia"/>
          <w:bCs/>
          <w:caps/>
          <w:sz w:val="32"/>
          <w:szCs w:val="32"/>
        </w:rPr>
        <w:t>吨，增长</w:t>
      </w:r>
      <w:r w:rsidRPr="00F212E7">
        <w:rPr>
          <w:rFonts w:eastAsia="仿宋_GB2312" w:hint="eastAsia"/>
          <w:bCs/>
          <w:caps/>
          <w:sz w:val="32"/>
          <w:szCs w:val="32"/>
        </w:rPr>
        <w:t>3.2%</w:t>
      </w:r>
      <w:r w:rsidRPr="00F212E7">
        <w:rPr>
          <w:rFonts w:eastAsia="仿宋_GB2312" w:hint="eastAsia"/>
          <w:bCs/>
          <w:caps/>
          <w:sz w:val="32"/>
          <w:szCs w:val="32"/>
        </w:rPr>
        <w:t>，完成渔业产值</w:t>
      </w:r>
      <w:r w:rsidRPr="00F212E7">
        <w:rPr>
          <w:rFonts w:eastAsia="仿宋_GB2312" w:hint="eastAsia"/>
          <w:bCs/>
          <w:caps/>
          <w:sz w:val="32"/>
          <w:szCs w:val="32"/>
        </w:rPr>
        <w:t>1.56</w:t>
      </w:r>
      <w:r w:rsidRPr="00F212E7">
        <w:rPr>
          <w:rFonts w:eastAsia="仿宋_GB2312" w:hint="eastAsia"/>
          <w:bCs/>
          <w:caps/>
          <w:sz w:val="32"/>
          <w:szCs w:val="32"/>
        </w:rPr>
        <w:t>亿元，增长</w:t>
      </w:r>
      <w:r w:rsidRPr="00F212E7">
        <w:rPr>
          <w:rFonts w:eastAsia="仿宋_GB2312" w:hint="eastAsia"/>
          <w:bCs/>
          <w:caps/>
          <w:sz w:val="32"/>
          <w:szCs w:val="32"/>
        </w:rPr>
        <w:t>5.2%</w:t>
      </w:r>
      <w:r w:rsidRPr="00F212E7">
        <w:rPr>
          <w:rFonts w:eastAsia="仿宋_GB2312" w:hint="eastAsia"/>
          <w:bCs/>
          <w:caps/>
          <w:sz w:val="32"/>
          <w:szCs w:val="32"/>
        </w:rPr>
        <w:t>。</w:t>
      </w:r>
      <w:bookmarkEnd w:id="15"/>
      <w:bookmarkEnd w:id="16"/>
    </w:p>
    <w:p w:rsidR="00C17C9B" w:rsidRPr="00F212E7" w:rsidRDefault="00C17C9B" w:rsidP="00C17C9B">
      <w:pPr>
        <w:spacing w:line="560" w:lineRule="exact"/>
        <w:ind w:firstLineChars="200" w:firstLine="640"/>
        <w:outlineLvl w:val="0"/>
        <w:rPr>
          <w:rFonts w:eastAsia="仿宋_GB2312"/>
          <w:bCs/>
          <w:caps/>
          <w:sz w:val="32"/>
          <w:szCs w:val="32"/>
        </w:rPr>
      </w:pPr>
      <w:bookmarkStart w:id="17" w:name="OLE_LINK46"/>
      <w:bookmarkStart w:id="18" w:name="OLE_LINK47"/>
      <w:r w:rsidRPr="00F212E7">
        <w:rPr>
          <w:rFonts w:eastAsia="仿宋_GB2312" w:hint="eastAsia"/>
          <w:bCs/>
          <w:caps/>
          <w:sz w:val="32"/>
          <w:szCs w:val="32"/>
        </w:rPr>
        <w:t>加大农业科技推广力度，开展省级农业产业技术团队项</w:t>
      </w:r>
      <w:r w:rsidRPr="00F212E7">
        <w:rPr>
          <w:rFonts w:eastAsia="仿宋_GB2312" w:hint="eastAsia"/>
          <w:bCs/>
          <w:caps/>
          <w:sz w:val="32"/>
          <w:szCs w:val="32"/>
        </w:rPr>
        <w:lastRenderedPageBreak/>
        <w:t>目</w:t>
      </w:r>
      <w:r w:rsidRPr="00F212E7">
        <w:rPr>
          <w:rFonts w:eastAsia="仿宋_GB2312" w:hint="eastAsia"/>
          <w:bCs/>
          <w:caps/>
          <w:sz w:val="32"/>
          <w:szCs w:val="32"/>
        </w:rPr>
        <w:t>6</w:t>
      </w:r>
      <w:r w:rsidRPr="00F212E7">
        <w:rPr>
          <w:rFonts w:eastAsia="仿宋_GB2312" w:hint="eastAsia"/>
          <w:bCs/>
          <w:caps/>
          <w:sz w:val="32"/>
          <w:szCs w:val="32"/>
        </w:rPr>
        <w:t>个，建成省现代农业科技试验示范基地</w:t>
      </w:r>
      <w:r w:rsidRPr="00F212E7">
        <w:rPr>
          <w:rFonts w:eastAsia="仿宋_GB2312" w:hint="eastAsia"/>
          <w:bCs/>
          <w:caps/>
          <w:sz w:val="32"/>
          <w:szCs w:val="32"/>
        </w:rPr>
        <w:t>4</w:t>
      </w:r>
      <w:r w:rsidRPr="00F212E7">
        <w:rPr>
          <w:rFonts w:eastAsia="仿宋_GB2312" w:hint="eastAsia"/>
          <w:bCs/>
          <w:caps/>
          <w:sz w:val="32"/>
          <w:szCs w:val="32"/>
        </w:rPr>
        <w:t>家。实施省级农艺农机融合示范基地项目</w:t>
      </w:r>
      <w:r w:rsidRPr="00F212E7">
        <w:rPr>
          <w:rFonts w:eastAsia="仿宋_GB2312" w:hint="eastAsia"/>
          <w:bCs/>
          <w:caps/>
          <w:sz w:val="32"/>
          <w:szCs w:val="32"/>
        </w:rPr>
        <w:t>2</w:t>
      </w:r>
      <w:r w:rsidRPr="00F212E7">
        <w:rPr>
          <w:rFonts w:eastAsia="仿宋_GB2312" w:hint="eastAsia"/>
          <w:bCs/>
          <w:caps/>
          <w:sz w:val="32"/>
          <w:szCs w:val="32"/>
        </w:rPr>
        <w:t>个，区域农事服务中心项目</w:t>
      </w:r>
      <w:r w:rsidRPr="00F212E7">
        <w:rPr>
          <w:rFonts w:eastAsia="仿宋_GB2312" w:hint="eastAsia"/>
          <w:bCs/>
          <w:caps/>
          <w:sz w:val="32"/>
          <w:szCs w:val="32"/>
        </w:rPr>
        <w:t>1</w:t>
      </w:r>
      <w:r w:rsidRPr="00F212E7">
        <w:rPr>
          <w:rFonts w:eastAsia="仿宋_GB2312" w:hint="eastAsia"/>
          <w:bCs/>
          <w:caps/>
          <w:sz w:val="32"/>
          <w:szCs w:val="32"/>
        </w:rPr>
        <w:t>个，农业领域“机器换人”项目</w:t>
      </w:r>
      <w:r w:rsidRPr="00F212E7">
        <w:rPr>
          <w:rFonts w:eastAsia="仿宋_GB2312" w:hint="eastAsia"/>
          <w:bCs/>
          <w:caps/>
          <w:sz w:val="32"/>
          <w:szCs w:val="32"/>
        </w:rPr>
        <w:t>7</w:t>
      </w:r>
      <w:r w:rsidRPr="00F212E7">
        <w:rPr>
          <w:rFonts w:eastAsia="仿宋_GB2312" w:hint="eastAsia"/>
          <w:bCs/>
          <w:caps/>
          <w:sz w:val="32"/>
          <w:szCs w:val="32"/>
        </w:rPr>
        <w:t>个，农机购置补贴机具</w:t>
      </w:r>
      <w:r w:rsidRPr="00F212E7">
        <w:rPr>
          <w:rFonts w:eastAsia="仿宋_GB2312" w:hint="eastAsia"/>
          <w:bCs/>
          <w:caps/>
          <w:sz w:val="32"/>
          <w:szCs w:val="32"/>
        </w:rPr>
        <w:t>430</w:t>
      </w:r>
      <w:r w:rsidRPr="00F212E7">
        <w:rPr>
          <w:rFonts w:eastAsia="仿宋_GB2312" w:hint="eastAsia"/>
          <w:bCs/>
          <w:caps/>
          <w:sz w:val="32"/>
          <w:szCs w:val="32"/>
        </w:rPr>
        <w:t>台（套），设施大棚建设提升</w:t>
      </w:r>
      <w:r w:rsidRPr="00F212E7">
        <w:rPr>
          <w:rFonts w:eastAsia="仿宋_GB2312" w:hint="eastAsia"/>
          <w:bCs/>
          <w:caps/>
          <w:sz w:val="32"/>
          <w:szCs w:val="32"/>
        </w:rPr>
        <w:t>674</w:t>
      </w:r>
      <w:r w:rsidRPr="00F212E7">
        <w:rPr>
          <w:rFonts w:eastAsia="仿宋_GB2312" w:hint="eastAsia"/>
          <w:bCs/>
          <w:caps/>
          <w:sz w:val="32"/>
          <w:szCs w:val="32"/>
        </w:rPr>
        <w:t>亩，农作物耕种收综合机械化率</w:t>
      </w:r>
      <w:r w:rsidRPr="00F212E7">
        <w:rPr>
          <w:rFonts w:eastAsia="仿宋_GB2312" w:hint="eastAsia"/>
          <w:bCs/>
          <w:caps/>
          <w:sz w:val="32"/>
          <w:szCs w:val="32"/>
        </w:rPr>
        <w:t>84.21%</w:t>
      </w:r>
      <w:r w:rsidRPr="00F212E7">
        <w:rPr>
          <w:rFonts w:eastAsia="仿宋_GB2312" w:hint="eastAsia"/>
          <w:bCs/>
          <w:caps/>
          <w:sz w:val="32"/>
          <w:szCs w:val="32"/>
        </w:rPr>
        <w:t>，水稻机插率</w:t>
      </w:r>
      <w:r w:rsidRPr="00F212E7">
        <w:rPr>
          <w:rFonts w:eastAsia="仿宋_GB2312" w:hint="eastAsia"/>
          <w:bCs/>
          <w:caps/>
          <w:sz w:val="32"/>
          <w:szCs w:val="32"/>
        </w:rPr>
        <w:t>63.36%</w:t>
      </w:r>
      <w:r w:rsidRPr="00F212E7">
        <w:rPr>
          <w:rFonts w:eastAsia="仿宋_GB2312" w:hint="eastAsia"/>
          <w:bCs/>
          <w:caps/>
          <w:sz w:val="32"/>
          <w:szCs w:val="32"/>
        </w:rPr>
        <w:t>，</w:t>
      </w:r>
      <w:r w:rsidR="009159BC" w:rsidRPr="00F212E7">
        <w:rPr>
          <w:rFonts w:eastAsia="仿宋_GB2312" w:hint="eastAsia"/>
          <w:bCs/>
          <w:caps/>
          <w:sz w:val="32"/>
          <w:szCs w:val="32"/>
        </w:rPr>
        <w:t>比上年</w:t>
      </w:r>
      <w:r w:rsidRPr="00F212E7">
        <w:rPr>
          <w:rFonts w:eastAsia="仿宋_GB2312" w:hint="eastAsia"/>
          <w:bCs/>
          <w:caps/>
          <w:sz w:val="32"/>
          <w:szCs w:val="32"/>
        </w:rPr>
        <w:t>增长</w:t>
      </w:r>
      <w:r w:rsidRPr="00F212E7">
        <w:rPr>
          <w:rFonts w:eastAsia="仿宋_GB2312" w:hint="eastAsia"/>
          <w:bCs/>
          <w:caps/>
          <w:sz w:val="32"/>
          <w:szCs w:val="32"/>
        </w:rPr>
        <w:t>14.97%</w:t>
      </w:r>
      <w:r w:rsidRPr="00F212E7">
        <w:rPr>
          <w:rFonts w:eastAsia="仿宋_GB2312" w:hint="eastAsia"/>
          <w:bCs/>
          <w:caps/>
          <w:sz w:val="32"/>
          <w:szCs w:val="32"/>
        </w:rPr>
        <w:t>。新增省级数字农业工厂</w:t>
      </w:r>
      <w:r w:rsidRPr="00F212E7">
        <w:rPr>
          <w:rFonts w:eastAsia="仿宋_GB2312" w:hint="eastAsia"/>
          <w:bCs/>
          <w:caps/>
          <w:sz w:val="32"/>
          <w:szCs w:val="32"/>
        </w:rPr>
        <w:t>3</w:t>
      </w:r>
      <w:r w:rsidRPr="00F212E7">
        <w:rPr>
          <w:rFonts w:eastAsia="仿宋_GB2312" w:hint="eastAsia"/>
          <w:bCs/>
          <w:caps/>
          <w:sz w:val="32"/>
          <w:szCs w:val="32"/>
        </w:rPr>
        <w:t>家，市场集团农事服务中心获评省级五星级农事服务中心。</w:t>
      </w:r>
      <w:bookmarkEnd w:id="17"/>
      <w:bookmarkEnd w:id="18"/>
    </w:p>
    <w:p w:rsidR="00C17C9B" w:rsidRPr="00F212E7" w:rsidRDefault="00C17C9B" w:rsidP="00C17C9B">
      <w:pPr>
        <w:spacing w:line="560" w:lineRule="exact"/>
        <w:ind w:firstLineChars="200" w:firstLine="640"/>
        <w:outlineLvl w:val="0"/>
        <w:rPr>
          <w:rFonts w:eastAsia="仿宋_GB2312"/>
          <w:bCs/>
          <w:caps/>
          <w:sz w:val="32"/>
          <w:szCs w:val="32"/>
        </w:rPr>
      </w:pPr>
      <w:bookmarkStart w:id="19" w:name="OLE_LINK48"/>
      <w:bookmarkStart w:id="20" w:name="OLE_LINK49"/>
      <w:r w:rsidRPr="00F212E7">
        <w:rPr>
          <w:rFonts w:eastAsia="仿宋_GB2312" w:hint="eastAsia"/>
          <w:bCs/>
          <w:caps/>
          <w:sz w:val="32"/>
          <w:szCs w:val="32"/>
        </w:rPr>
        <w:t>新增省级未来乡村建设村</w:t>
      </w:r>
      <w:r w:rsidRPr="00F212E7">
        <w:rPr>
          <w:rFonts w:eastAsia="仿宋_GB2312" w:hint="eastAsia"/>
          <w:bCs/>
          <w:caps/>
          <w:sz w:val="32"/>
          <w:szCs w:val="32"/>
        </w:rPr>
        <w:t>4</w:t>
      </w:r>
      <w:r w:rsidRPr="00F212E7">
        <w:rPr>
          <w:rFonts w:eastAsia="仿宋_GB2312" w:hint="eastAsia"/>
          <w:bCs/>
          <w:caps/>
          <w:sz w:val="32"/>
          <w:szCs w:val="32"/>
        </w:rPr>
        <w:t>个，金华市未来乡村建设村</w:t>
      </w:r>
      <w:r w:rsidRPr="00F212E7">
        <w:rPr>
          <w:rFonts w:eastAsia="仿宋_GB2312" w:hint="eastAsia"/>
          <w:bCs/>
          <w:caps/>
          <w:sz w:val="32"/>
          <w:szCs w:val="32"/>
        </w:rPr>
        <w:t>9</w:t>
      </w:r>
      <w:r w:rsidRPr="00F212E7">
        <w:rPr>
          <w:rFonts w:eastAsia="仿宋_GB2312" w:hint="eastAsia"/>
          <w:bCs/>
          <w:caps/>
          <w:sz w:val="32"/>
          <w:szCs w:val="32"/>
        </w:rPr>
        <w:t>个，谋划项目</w:t>
      </w:r>
      <w:r w:rsidRPr="00F212E7">
        <w:rPr>
          <w:rFonts w:eastAsia="仿宋_GB2312" w:hint="eastAsia"/>
          <w:bCs/>
          <w:caps/>
          <w:sz w:val="32"/>
          <w:szCs w:val="32"/>
        </w:rPr>
        <w:t>73</w:t>
      </w:r>
      <w:r w:rsidRPr="00F212E7">
        <w:rPr>
          <w:rFonts w:eastAsia="仿宋_GB2312" w:hint="eastAsia"/>
          <w:bCs/>
          <w:caps/>
          <w:sz w:val="32"/>
          <w:szCs w:val="32"/>
        </w:rPr>
        <w:t>个，总投资约</w:t>
      </w:r>
      <w:r w:rsidRPr="00F212E7">
        <w:rPr>
          <w:rFonts w:eastAsia="仿宋_GB2312" w:hint="eastAsia"/>
          <w:bCs/>
          <w:caps/>
          <w:sz w:val="32"/>
          <w:szCs w:val="32"/>
        </w:rPr>
        <w:t>2.9</w:t>
      </w:r>
      <w:r w:rsidRPr="00F212E7">
        <w:rPr>
          <w:rFonts w:eastAsia="仿宋_GB2312" w:hint="eastAsia"/>
          <w:bCs/>
          <w:caps/>
          <w:sz w:val="32"/>
          <w:szCs w:val="32"/>
        </w:rPr>
        <w:t>亿元，验收后累计建成省级未来乡村</w:t>
      </w:r>
      <w:r w:rsidRPr="00F212E7">
        <w:rPr>
          <w:rFonts w:eastAsia="仿宋_GB2312" w:hint="eastAsia"/>
          <w:bCs/>
          <w:caps/>
          <w:sz w:val="32"/>
          <w:szCs w:val="32"/>
        </w:rPr>
        <w:t>15</w:t>
      </w:r>
      <w:r w:rsidRPr="00F212E7">
        <w:rPr>
          <w:rFonts w:eastAsia="仿宋_GB2312" w:hint="eastAsia"/>
          <w:bCs/>
          <w:caps/>
          <w:sz w:val="32"/>
          <w:szCs w:val="32"/>
        </w:rPr>
        <w:t>个，排名金华第</w:t>
      </w:r>
      <w:r w:rsidRPr="00F212E7">
        <w:rPr>
          <w:rFonts w:eastAsia="仿宋_GB2312" w:hint="eastAsia"/>
          <w:bCs/>
          <w:caps/>
          <w:sz w:val="32"/>
          <w:szCs w:val="32"/>
        </w:rPr>
        <w:t>1</w:t>
      </w:r>
      <w:r w:rsidRPr="00F212E7">
        <w:rPr>
          <w:rFonts w:eastAsia="仿宋_GB2312" w:hint="eastAsia"/>
          <w:bCs/>
          <w:caps/>
          <w:sz w:val="32"/>
          <w:szCs w:val="32"/>
        </w:rPr>
        <w:t>。加快推进第十二批历史文化村落保护利用重点村雅端村古建筑修复等项目建设，累计建成历史文化村落保护利用重点村</w:t>
      </w:r>
      <w:r w:rsidRPr="00F212E7">
        <w:rPr>
          <w:rFonts w:eastAsia="仿宋_GB2312" w:hint="eastAsia"/>
          <w:bCs/>
          <w:caps/>
          <w:sz w:val="32"/>
          <w:szCs w:val="32"/>
        </w:rPr>
        <w:t>7</w:t>
      </w:r>
      <w:r w:rsidRPr="00F212E7">
        <w:rPr>
          <w:rFonts w:eastAsia="仿宋_GB2312" w:hint="eastAsia"/>
          <w:bCs/>
          <w:caps/>
          <w:sz w:val="32"/>
          <w:szCs w:val="32"/>
        </w:rPr>
        <w:t>个、一般村</w:t>
      </w:r>
      <w:r w:rsidRPr="00F212E7">
        <w:rPr>
          <w:rFonts w:eastAsia="仿宋_GB2312" w:hint="eastAsia"/>
          <w:bCs/>
          <w:caps/>
          <w:sz w:val="32"/>
          <w:szCs w:val="32"/>
        </w:rPr>
        <w:t>16</w:t>
      </w:r>
      <w:r w:rsidRPr="00F212E7">
        <w:rPr>
          <w:rFonts w:eastAsia="仿宋_GB2312" w:hint="eastAsia"/>
          <w:bCs/>
          <w:caps/>
          <w:sz w:val="32"/>
          <w:szCs w:val="32"/>
        </w:rPr>
        <w:t>个。</w:t>
      </w:r>
      <w:bookmarkEnd w:id="19"/>
      <w:bookmarkEnd w:id="20"/>
    </w:p>
    <w:p w:rsidR="00F014A3" w:rsidRPr="00F212E7" w:rsidRDefault="00CD538F" w:rsidP="00FB4CFD">
      <w:pPr>
        <w:spacing w:line="560" w:lineRule="exact"/>
        <w:ind w:firstLineChars="200" w:firstLine="723"/>
        <w:jc w:val="left"/>
        <w:outlineLvl w:val="0"/>
        <w:rPr>
          <w:rFonts w:eastAsia="仿宋_GB2312"/>
          <w:b/>
          <w:sz w:val="36"/>
        </w:rPr>
      </w:pPr>
      <w:r w:rsidRPr="00F212E7">
        <w:rPr>
          <w:rFonts w:eastAsia="仿宋_GB2312"/>
          <w:b/>
          <w:sz w:val="36"/>
        </w:rPr>
        <w:t>三、工业和建筑业</w:t>
      </w:r>
    </w:p>
    <w:p w:rsidR="0039368A" w:rsidRDefault="00CD538F">
      <w:pPr>
        <w:spacing w:line="560" w:lineRule="exact"/>
        <w:ind w:firstLineChars="200" w:firstLine="640"/>
        <w:outlineLvl w:val="0"/>
        <w:rPr>
          <w:rFonts w:eastAsia="仿宋_GB2312"/>
          <w:bCs/>
          <w:caps/>
          <w:sz w:val="32"/>
          <w:szCs w:val="32"/>
        </w:rPr>
      </w:pPr>
      <w:r w:rsidRPr="00F212E7">
        <w:rPr>
          <w:rFonts w:eastAsia="仿宋_GB2312"/>
          <w:bCs/>
          <w:caps/>
          <w:sz w:val="32"/>
          <w:szCs w:val="32"/>
        </w:rPr>
        <w:t>全年</w:t>
      </w:r>
      <w:bookmarkStart w:id="21" w:name="OLE_LINK50"/>
      <w:bookmarkStart w:id="22" w:name="OLE_LINK51"/>
      <w:r w:rsidRPr="00F212E7">
        <w:rPr>
          <w:rFonts w:eastAsia="仿宋_GB2312"/>
          <w:bCs/>
          <w:caps/>
          <w:sz w:val="32"/>
          <w:szCs w:val="32"/>
        </w:rPr>
        <w:t>实现工业增加值</w:t>
      </w:r>
      <w:bookmarkStart w:id="23" w:name="OLE_LINK8"/>
      <w:bookmarkStart w:id="24" w:name="OLE_LINK9"/>
      <w:r w:rsidR="0046597F" w:rsidRPr="00F212E7">
        <w:rPr>
          <w:rFonts w:eastAsia="仿宋_GB2312" w:hint="eastAsia"/>
          <w:bCs/>
          <w:caps/>
          <w:sz w:val="32"/>
          <w:szCs w:val="32"/>
        </w:rPr>
        <w:t>648.17</w:t>
      </w:r>
      <w:bookmarkEnd w:id="23"/>
      <w:bookmarkEnd w:id="24"/>
      <w:r w:rsidRPr="00F212E7">
        <w:rPr>
          <w:rFonts w:eastAsia="仿宋_GB2312"/>
          <w:bCs/>
          <w:caps/>
          <w:sz w:val="32"/>
          <w:szCs w:val="32"/>
        </w:rPr>
        <w:t>亿元，</w:t>
      </w:r>
      <w:r w:rsidRPr="00F212E7">
        <w:rPr>
          <w:rFonts w:eastAsia="仿宋_GB2312" w:hint="eastAsia"/>
          <w:bCs/>
          <w:caps/>
          <w:sz w:val="32"/>
          <w:szCs w:val="32"/>
        </w:rPr>
        <w:t>比上年</w:t>
      </w:r>
      <w:r w:rsidRPr="00F212E7">
        <w:rPr>
          <w:rFonts w:eastAsia="仿宋_GB2312"/>
          <w:bCs/>
          <w:caps/>
          <w:sz w:val="32"/>
          <w:szCs w:val="32"/>
        </w:rPr>
        <w:t>增长</w:t>
      </w:r>
      <w:r w:rsidRPr="00F212E7">
        <w:rPr>
          <w:rFonts w:eastAsia="仿宋_GB2312" w:hint="eastAsia"/>
          <w:bCs/>
          <w:caps/>
          <w:sz w:val="32"/>
          <w:szCs w:val="32"/>
        </w:rPr>
        <w:t>7.</w:t>
      </w:r>
      <w:r w:rsidR="0046597F" w:rsidRPr="00F212E7">
        <w:rPr>
          <w:rFonts w:eastAsia="仿宋_GB2312" w:hint="eastAsia"/>
          <w:bCs/>
          <w:caps/>
          <w:sz w:val="32"/>
          <w:szCs w:val="32"/>
        </w:rPr>
        <w:t>0</w:t>
      </w:r>
      <w:r w:rsidRPr="00F212E7">
        <w:rPr>
          <w:rFonts w:eastAsia="仿宋_GB2312"/>
          <w:bCs/>
          <w:caps/>
          <w:sz w:val="32"/>
          <w:szCs w:val="32"/>
        </w:rPr>
        <w:t>%</w:t>
      </w:r>
      <w:r w:rsidR="0025048E" w:rsidRPr="00F212E7">
        <w:rPr>
          <w:rFonts w:eastAsia="仿宋_GB2312" w:hint="eastAsia"/>
          <w:bCs/>
          <w:caps/>
          <w:sz w:val="32"/>
          <w:szCs w:val="32"/>
        </w:rPr>
        <w:t>，其中规模以上工业增加值比上年增长</w:t>
      </w:r>
      <w:r w:rsidR="0025048E" w:rsidRPr="00F212E7">
        <w:rPr>
          <w:rFonts w:eastAsia="仿宋_GB2312" w:hint="eastAsia"/>
          <w:bCs/>
          <w:caps/>
          <w:sz w:val="32"/>
          <w:szCs w:val="32"/>
        </w:rPr>
        <w:t>11.6%</w:t>
      </w:r>
      <w:r w:rsidR="0025048E" w:rsidRPr="00F212E7">
        <w:rPr>
          <w:rFonts w:eastAsia="仿宋_GB2312" w:hint="eastAsia"/>
          <w:bCs/>
          <w:caps/>
          <w:sz w:val="32"/>
          <w:szCs w:val="32"/>
        </w:rPr>
        <w:t>。</w:t>
      </w:r>
      <w:r w:rsidR="002D535C" w:rsidRPr="00F212E7">
        <w:rPr>
          <w:rFonts w:eastAsia="仿宋_GB2312" w:hint="eastAsia"/>
          <w:bCs/>
          <w:caps/>
          <w:sz w:val="32"/>
          <w:szCs w:val="32"/>
        </w:rPr>
        <w:t>全市规模以上工业总产值</w:t>
      </w:r>
      <w:r w:rsidR="002D535C" w:rsidRPr="00F212E7">
        <w:rPr>
          <w:rFonts w:eastAsia="仿宋_GB2312" w:hint="eastAsia"/>
          <w:bCs/>
          <w:caps/>
          <w:sz w:val="32"/>
          <w:szCs w:val="32"/>
        </w:rPr>
        <w:t>1550.22</w:t>
      </w:r>
      <w:r w:rsidR="002D535C" w:rsidRPr="00F212E7">
        <w:rPr>
          <w:rFonts w:eastAsia="仿宋_GB2312" w:hint="eastAsia"/>
          <w:bCs/>
          <w:caps/>
          <w:sz w:val="32"/>
          <w:szCs w:val="32"/>
        </w:rPr>
        <w:t>亿元，增长</w:t>
      </w:r>
      <w:r w:rsidR="002D535C" w:rsidRPr="00F212E7">
        <w:rPr>
          <w:rFonts w:eastAsia="仿宋_GB2312" w:hint="eastAsia"/>
          <w:bCs/>
          <w:caps/>
          <w:sz w:val="32"/>
          <w:szCs w:val="32"/>
        </w:rPr>
        <w:t>10.5%</w:t>
      </w:r>
      <w:r w:rsidR="002D535C" w:rsidRPr="00F212E7">
        <w:rPr>
          <w:rFonts w:eastAsia="仿宋_GB2312" w:hint="eastAsia"/>
          <w:bCs/>
          <w:caps/>
          <w:sz w:val="32"/>
          <w:szCs w:val="32"/>
        </w:rPr>
        <w:t>。规模以上高新技术产业、高技术制造业和战略性新兴产业增加值分别</w:t>
      </w:r>
      <w:r w:rsidR="00F329D8" w:rsidRPr="00F212E7">
        <w:rPr>
          <w:rFonts w:eastAsia="仿宋_GB2312" w:hint="eastAsia"/>
          <w:bCs/>
          <w:caps/>
          <w:sz w:val="32"/>
          <w:szCs w:val="32"/>
        </w:rPr>
        <w:t>比上年</w:t>
      </w:r>
      <w:r w:rsidR="002D535C" w:rsidRPr="00F212E7">
        <w:rPr>
          <w:rFonts w:eastAsia="仿宋_GB2312" w:hint="eastAsia"/>
          <w:bCs/>
          <w:caps/>
          <w:sz w:val="32"/>
          <w:szCs w:val="32"/>
        </w:rPr>
        <w:t>增长</w:t>
      </w:r>
      <w:r w:rsidR="002D535C" w:rsidRPr="00F212E7">
        <w:rPr>
          <w:rFonts w:eastAsia="仿宋_GB2312" w:hint="eastAsia"/>
          <w:bCs/>
          <w:caps/>
          <w:sz w:val="32"/>
          <w:szCs w:val="32"/>
        </w:rPr>
        <w:t>12.7%</w:t>
      </w:r>
      <w:r w:rsidR="002D535C" w:rsidRPr="00F212E7">
        <w:rPr>
          <w:rFonts w:eastAsia="仿宋_GB2312" w:hint="eastAsia"/>
          <w:bCs/>
          <w:caps/>
          <w:sz w:val="32"/>
          <w:szCs w:val="32"/>
        </w:rPr>
        <w:t>、</w:t>
      </w:r>
      <w:r w:rsidR="002D535C" w:rsidRPr="00F212E7">
        <w:rPr>
          <w:rFonts w:eastAsia="仿宋_GB2312" w:hint="eastAsia"/>
          <w:bCs/>
          <w:caps/>
          <w:sz w:val="32"/>
          <w:szCs w:val="32"/>
        </w:rPr>
        <w:t>20.2%</w:t>
      </w:r>
      <w:r w:rsidR="002D535C" w:rsidRPr="00F212E7">
        <w:rPr>
          <w:rFonts w:eastAsia="仿宋_GB2312" w:hint="eastAsia"/>
          <w:bCs/>
          <w:caps/>
          <w:sz w:val="32"/>
          <w:szCs w:val="32"/>
        </w:rPr>
        <w:t>和</w:t>
      </w:r>
      <w:r w:rsidR="002D535C" w:rsidRPr="00F212E7">
        <w:rPr>
          <w:rFonts w:eastAsia="仿宋_GB2312" w:hint="eastAsia"/>
          <w:bCs/>
          <w:caps/>
          <w:sz w:val="32"/>
          <w:szCs w:val="32"/>
        </w:rPr>
        <w:t>52.3%</w:t>
      </w:r>
      <w:r w:rsidR="002D535C" w:rsidRPr="00F212E7">
        <w:rPr>
          <w:rFonts w:eastAsia="仿宋_GB2312" w:hint="eastAsia"/>
          <w:bCs/>
          <w:caps/>
          <w:sz w:val="32"/>
          <w:szCs w:val="32"/>
        </w:rPr>
        <w:t>，占规上工业的比重分别为</w:t>
      </w:r>
      <w:r w:rsidR="002D535C" w:rsidRPr="00F212E7">
        <w:rPr>
          <w:rFonts w:eastAsia="仿宋_GB2312" w:hint="eastAsia"/>
          <w:bCs/>
          <w:caps/>
          <w:sz w:val="32"/>
          <w:szCs w:val="32"/>
        </w:rPr>
        <w:t>77.2%</w:t>
      </w:r>
      <w:r w:rsidR="002D535C" w:rsidRPr="00F212E7">
        <w:rPr>
          <w:rFonts w:eastAsia="仿宋_GB2312" w:hint="eastAsia"/>
          <w:bCs/>
          <w:caps/>
          <w:sz w:val="32"/>
          <w:szCs w:val="32"/>
        </w:rPr>
        <w:t>、</w:t>
      </w:r>
      <w:r w:rsidR="002D535C" w:rsidRPr="00F212E7">
        <w:rPr>
          <w:rFonts w:eastAsia="仿宋_GB2312" w:hint="eastAsia"/>
          <w:bCs/>
          <w:caps/>
          <w:sz w:val="32"/>
          <w:szCs w:val="32"/>
        </w:rPr>
        <w:t>5.4%</w:t>
      </w:r>
      <w:r w:rsidR="002D535C" w:rsidRPr="00F212E7">
        <w:rPr>
          <w:rFonts w:eastAsia="仿宋_GB2312" w:hint="eastAsia"/>
          <w:bCs/>
          <w:caps/>
          <w:sz w:val="32"/>
          <w:szCs w:val="32"/>
        </w:rPr>
        <w:t>和</w:t>
      </w:r>
      <w:r w:rsidR="002D535C" w:rsidRPr="00F212E7">
        <w:rPr>
          <w:rFonts w:eastAsia="仿宋_GB2312" w:hint="eastAsia"/>
          <w:bCs/>
          <w:caps/>
          <w:sz w:val="32"/>
          <w:szCs w:val="32"/>
        </w:rPr>
        <w:t>34%</w:t>
      </w:r>
      <w:r w:rsidR="002D535C" w:rsidRPr="00F212E7">
        <w:rPr>
          <w:rFonts w:eastAsia="仿宋_GB2312" w:hint="eastAsia"/>
          <w:bCs/>
          <w:caps/>
          <w:sz w:val="32"/>
          <w:szCs w:val="32"/>
        </w:rPr>
        <w:t>。</w:t>
      </w:r>
      <w:r w:rsidRPr="00F212E7">
        <w:rPr>
          <w:rFonts w:eastAsia="仿宋_GB2312" w:hint="eastAsia"/>
          <w:bCs/>
          <w:caps/>
          <w:sz w:val="32"/>
          <w:szCs w:val="32"/>
        </w:rPr>
        <w:t>全年累计工业用电量</w:t>
      </w:r>
      <w:r w:rsidR="0046597F" w:rsidRPr="00F212E7">
        <w:rPr>
          <w:rFonts w:eastAsia="仿宋_GB2312" w:hint="eastAsia"/>
          <w:bCs/>
          <w:caps/>
          <w:sz w:val="32"/>
          <w:szCs w:val="32"/>
        </w:rPr>
        <w:t>91.97</w:t>
      </w:r>
      <w:r w:rsidRPr="00F212E7">
        <w:rPr>
          <w:rFonts w:eastAsia="仿宋_GB2312" w:hint="eastAsia"/>
          <w:bCs/>
          <w:caps/>
          <w:sz w:val="32"/>
          <w:szCs w:val="32"/>
        </w:rPr>
        <w:t>亿千瓦时，</w:t>
      </w:r>
      <w:r w:rsidR="0046597F" w:rsidRPr="00F212E7">
        <w:rPr>
          <w:rFonts w:eastAsia="仿宋_GB2312" w:hint="eastAsia"/>
          <w:bCs/>
          <w:caps/>
          <w:sz w:val="32"/>
          <w:szCs w:val="32"/>
        </w:rPr>
        <w:t>比上年下降</w:t>
      </w:r>
      <w:r w:rsidR="0046597F" w:rsidRPr="00F212E7">
        <w:rPr>
          <w:rFonts w:eastAsia="仿宋_GB2312" w:hint="eastAsia"/>
          <w:bCs/>
          <w:caps/>
          <w:sz w:val="32"/>
          <w:szCs w:val="32"/>
        </w:rPr>
        <w:t>3.9</w:t>
      </w:r>
      <w:r w:rsidRPr="00F212E7">
        <w:rPr>
          <w:rFonts w:eastAsia="仿宋_GB2312" w:hint="eastAsia"/>
          <w:bCs/>
          <w:caps/>
          <w:sz w:val="32"/>
          <w:szCs w:val="32"/>
        </w:rPr>
        <w:t>%</w:t>
      </w:r>
      <w:r w:rsidRPr="00F212E7">
        <w:rPr>
          <w:rFonts w:eastAsia="仿宋_GB2312" w:hint="eastAsia"/>
          <w:bCs/>
          <w:caps/>
          <w:sz w:val="32"/>
          <w:szCs w:val="32"/>
        </w:rPr>
        <w:t>。</w:t>
      </w:r>
      <w:bookmarkEnd w:id="21"/>
      <w:bookmarkEnd w:id="22"/>
    </w:p>
    <w:p w:rsidR="0039368A" w:rsidRDefault="0039368A">
      <w:pPr>
        <w:widowControl/>
        <w:jc w:val="left"/>
        <w:rPr>
          <w:rFonts w:eastAsia="仿宋_GB2312"/>
          <w:bCs/>
          <w:caps/>
          <w:sz w:val="32"/>
          <w:szCs w:val="32"/>
        </w:rPr>
      </w:pPr>
      <w:r>
        <w:rPr>
          <w:rFonts w:eastAsia="仿宋_GB2312"/>
          <w:bCs/>
          <w:caps/>
          <w:sz w:val="32"/>
          <w:szCs w:val="32"/>
        </w:rPr>
        <w:br w:type="page"/>
      </w:r>
    </w:p>
    <w:p w:rsidR="00F014A3" w:rsidRPr="00F212E7" w:rsidRDefault="00CD538F">
      <w:pPr>
        <w:jc w:val="center"/>
        <w:rPr>
          <w:rFonts w:eastAsia="仿宋_GB2312"/>
          <w:kern w:val="0"/>
          <w:sz w:val="23"/>
          <w:szCs w:val="23"/>
        </w:rPr>
      </w:pPr>
      <w:r w:rsidRPr="00F212E7">
        <w:rPr>
          <w:rFonts w:eastAsia="仿宋_GB2312"/>
          <w:kern w:val="0"/>
          <w:sz w:val="23"/>
          <w:szCs w:val="23"/>
        </w:rPr>
        <w:lastRenderedPageBreak/>
        <w:t>图</w:t>
      </w:r>
      <w:r w:rsidRPr="00F212E7">
        <w:rPr>
          <w:rFonts w:eastAsia="仿宋_GB2312" w:hint="eastAsia"/>
          <w:kern w:val="0"/>
          <w:sz w:val="23"/>
          <w:szCs w:val="23"/>
        </w:rPr>
        <w:t xml:space="preserve">2  </w:t>
      </w:r>
      <w:r w:rsidRPr="00F212E7">
        <w:rPr>
          <w:rFonts w:eastAsia="仿宋_GB2312"/>
          <w:kern w:val="0"/>
          <w:sz w:val="23"/>
          <w:szCs w:val="23"/>
        </w:rPr>
        <w:t>20</w:t>
      </w:r>
      <w:r w:rsidRPr="00F212E7">
        <w:rPr>
          <w:rFonts w:eastAsia="仿宋_GB2312" w:hint="eastAsia"/>
          <w:kern w:val="0"/>
          <w:sz w:val="23"/>
          <w:szCs w:val="23"/>
        </w:rPr>
        <w:t>2</w:t>
      </w:r>
      <w:r w:rsidR="0025048E" w:rsidRPr="00F212E7">
        <w:rPr>
          <w:rFonts w:eastAsia="仿宋_GB2312" w:hint="eastAsia"/>
          <w:kern w:val="0"/>
          <w:sz w:val="23"/>
          <w:szCs w:val="23"/>
        </w:rPr>
        <w:t>1</w:t>
      </w:r>
      <w:r w:rsidRPr="00F212E7">
        <w:rPr>
          <w:rFonts w:eastAsia="仿宋_GB2312"/>
          <w:kern w:val="0"/>
          <w:sz w:val="23"/>
          <w:szCs w:val="23"/>
        </w:rPr>
        <w:t>-202</w:t>
      </w:r>
      <w:r w:rsidR="0025048E" w:rsidRPr="00F212E7">
        <w:rPr>
          <w:rFonts w:eastAsia="仿宋_GB2312" w:hint="eastAsia"/>
          <w:kern w:val="0"/>
          <w:sz w:val="23"/>
          <w:szCs w:val="23"/>
        </w:rPr>
        <w:t>5</w:t>
      </w:r>
      <w:r w:rsidRPr="00F212E7">
        <w:rPr>
          <w:rFonts w:eastAsia="仿宋_GB2312"/>
          <w:kern w:val="0"/>
          <w:sz w:val="23"/>
          <w:szCs w:val="23"/>
        </w:rPr>
        <w:t>年规模以上工业</w:t>
      </w:r>
      <w:r w:rsidRPr="00F212E7">
        <w:rPr>
          <w:rFonts w:eastAsia="仿宋_GB2312" w:hint="eastAsia"/>
          <w:kern w:val="0"/>
          <w:sz w:val="23"/>
          <w:szCs w:val="23"/>
        </w:rPr>
        <w:t>增加值</w:t>
      </w:r>
      <w:r w:rsidRPr="00F212E7">
        <w:rPr>
          <w:rFonts w:eastAsia="仿宋_GB2312"/>
          <w:kern w:val="0"/>
          <w:sz w:val="23"/>
          <w:szCs w:val="23"/>
        </w:rPr>
        <w:t>增速</w:t>
      </w:r>
    </w:p>
    <w:p w:rsidR="00F014A3" w:rsidRPr="00F212E7" w:rsidRDefault="0025048E">
      <w:pPr>
        <w:ind w:firstLine="200"/>
        <w:jc w:val="center"/>
      </w:pPr>
      <w:r w:rsidRPr="00F212E7">
        <w:rPr>
          <w:noProof/>
        </w:rPr>
        <w:drawing>
          <wp:inline distT="0" distB="0" distL="0" distR="0" wp14:anchorId="114108AA" wp14:editId="06F6268C">
            <wp:extent cx="4572000" cy="2743200"/>
            <wp:effectExtent l="0" t="0" r="19050" b="19050"/>
            <wp:docPr id="21" name="图表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D633EA" w:rsidRPr="00F212E7" w:rsidRDefault="00D633EA" w:rsidP="00D633EA">
      <w:pPr>
        <w:spacing w:line="560" w:lineRule="exact"/>
        <w:ind w:firstLineChars="200" w:firstLine="640"/>
        <w:outlineLvl w:val="0"/>
        <w:rPr>
          <w:rFonts w:eastAsia="仿宋_GB2312"/>
          <w:bCs/>
          <w:caps/>
          <w:sz w:val="32"/>
          <w:szCs w:val="32"/>
        </w:rPr>
      </w:pPr>
      <w:bookmarkStart w:id="25" w:name="OLE_LINK52"/>
      <w:bookmarkStart w:id="26" w:name="OLE_LINK53"/>
      <w:r w:rsidRPr="00F212E7">
        <w:rPr>
          <w:rFonts w:eastAsia="仿宋_GB2312" w:hint="eastAsia"/>
          <w:bCs/>
          <w:caps/>
          <w:sz w:val="32"/>
          <w:szCs w:val="32"/>
        </w:rPr>
        <w:t>规模以上纺织服装服饰业、文教工美体育和娱乐用品制造业、纺织业、造纸和纸制品业、化学纤维制造业、化学原料和化学制品制造业、橡胶和塑料制品业等七大传统制造业实现产值</w:t>
      </w:r>
      <w:r w:rsidRPr="00F212E7">
        <w:rPr>
          <w:rFonts w:eastAsia="仿宋_GB2312" w:hint="eastAsia"/>
          <w:bCs/>
          <w:caps/>
          <w:sz w:val="32"/>
          <w:szCs w:val="32"/>
        </w:rPr>
        <w:t>539.6</w:t>
      </w:r>
      <w:r w:rsidRPr="00F212E7">
        <w:rPr>
          <w:rFonts w:eastAsia="仿宋_GB2312" w:hint="eastAsia"/>
          <w:bCs/>
          <w:caps/>
          <w:sz w:val="32"/>
          <w:szCs w:val="32"/>
        </w:rPr>
        <w:t>亿元，比上年下降</w:t>
      </w:r>
      <w:r w:rsidRPr="00F212E7">
        <w:rPr>
          <w:rFonts w:eastAsia="仿宋_GB2312" w:hint="eastAsia"/>
          <w:bCs/>
          <w:caps/>
          <w:sz w:val="32"/>
          <w:szCs w:val="32"/>
        </w:rPr>
        <w:t>6.4%</w:t>
      </w:r>
      <w:r w:rsidRPr="00F212E7">
        <w:rPr>
          <w:rFonts w:eastAsia="仿宋_GB2312" w:hint="eastAsia"/>
          <w:bCs/>
          <w:caps/>
          <w:sz w:val="32"/>
          <w:szCs w:val="32"/>
        </w:rPr>
        <w:t>；实现营业收入</w:t>
      </w:r>
      <w:r w:rsidRPr="00F212E7">
        <w:rPr>
          <w:rFonts w:eastAsia="仿宋_GB2312" w:hint="eastAsia"/>
          <w:bCs/>
          <w:caps/>
          <w:sz w:val="32"/>
          <w:szCs w:val="32"/>
        </w:rPr>
        <w:t>559.0</w:t>
      </w:r>
      <w:r w:rsidRPr="00F212E7">
        <w:rPr>
          <w:rFonts w:eastAsia="仿宋_GB2312" w:hint="eastAsia"/>
          <w:bCs/>
          <w:caps/>
          <w:sz w:val="32"/>
          <w:szCs w:val="32"/>
        </w:rPr>
        <w:t>亿元，下降</w:t>
      </w:r>
      <w:r w:rsidRPr="00F212E7">
        <w:rPr>
          <w:rFonts w:eastAsia="仿宋_GB2312" w:hint="eastAsia"/>
          <w:bCs/>
          <w:caps/>
          <w:sz w:val="32"/>
          <w:szCs w:val="32"/>
        </w:rPr>
        <w:t>9.7%</w:t>
      </w:r>
      <w:r w:rsidRPr="00F212E7">
        <w:rPr>
          <w:rFonts w:eastAsia="仿宋_GB2312" w:hint="eastAsia"/>
          <w:bCs/>
          <w:caps/>
          <w:sz w:val="32"/>
          <w:szCs w:val="32"/>
        </w:rPr>
        <w:t>。</w:t>
      </w:r>
      <w:bookmarkEnd w:id="25"/>
      <w:bookmarkEnd w:id="26"/>
    </w:p>
    <w:p w:rsidR="00D633EA" w:rsidRPr="00F212E7" w:rsidRDefault="00D633EA" w:rsidP="00D633EA">
      <w:pPr>
        <w:spacing w:line="560" w:lineRule="exact"/>
        <w:ind w:firstLineChars="200" w:firstLine="640"/>
        <w:outlineLvl w:val="0"/>
        <w:rPr>
          <w:rFonts w:eastAsia="仿宋_GB2312"/>
          <w:bCs/>
          <w:caps/>
          <w:sz w:val="32"/>
          <w:szCs w:val="32"/>
        </w:rPr>
      </w:pPr>
      <w:bookmarkStart w:id="27" w:name="OLE_LINK54"/>
      <w:bookmarkStart w:id="28" w:name="OLE_LINK55"/>
      <w:r w:rsidRPr="00F212E7">
        <w:rPr>
          <w:rFonts w:eastAsia="仿宋_GB2312" w:hint="eastAsia"/>
          <w:bCs/>
          <w:caps/>
          <w:sz w:val="32"/>
          <w:szCs w:val="32"/>
        </w:rPr>
        <w:t>十大重点传统制造业实现产值</w:t>
      </w:r>
      <w:r w:rsidRPr="00F212E7">
        <w:rPr>
          <w:rFonts w:eastAsia="仿宋_GB2312" w:hint="eastAsia"/>
          <w:bCs/>
          <w:caps/>
          <w:sz w:val="32"/>
          <w:szCs w:val="32"/>
        </w:rPr>
        <w:t>535.87</w:t>
      </w:r>
      <w:r w:rsidRPr="00F212E7">
        <w:rPr>
          <w:rFonts w:eastAsia="仿宋_GB2312" w:hint="eastAsia"/>
          <w:bCs/>
          <w:caps/>
          <w:sz w:val="32"/>
          <w:szCs w:val="32"/>
        </w:rPr>
        <w:t>亿元，比上年下降</w:t>
      </w:r>
      <w:r w:rsidRPr="00F212E7">
        <w:rPr>
          <w:rFonts w:eastAsia="仿宋_GB2312" w:hint="eastAsia"/>
          <w:bCs/>
          <w:caps/>
          <w:sz w:val="32"/>
          <w:szCs w:val="32"/>
        </w:rPr>
        <w:t>2.2%</w:t>
      </w:r>
      <w:r w:rsidRPr="00F212E7">
        <w:rPr>
          <w:rFonts w:eastAsia="仿宋_GB2312" w:hint="eastAsia"/>
          <w:bCs/>
          <w:caps/>
          <w:sz w:val="32"/>
          <w:szCs w:val="32"/>
        </w:rPr>
        <w:t>；十七大重点传统制造业实现产值</w:t>
      </w:r>
      <w:r w:rsidRPr="00F212E7">
        <w:rPr>
          <w:rFonts w:eastAsia="仿宋_GB2312" w:hint="eastAsia"/>
          <w:bCs/>
          <w:caps/>
          <w:sz w:val="32"/>
          <w:szCs w:val="32"/>
        </w:rPr>
        <w:t>981.96</w:t>
      </w:r>
      <w:r w:rsidRPr="00F212E7">
        <w:rPr>
          <w:rFonts w:eastAsia="仿宋_GB2312" w:hint="eastAsia"/>
          <w:bCs/>
          <w:caps/>
          <w:sz w:val="32"/>
          <w:szCs w:val="32"/>
        </w:rPr>
        <w:t>亿元，下降</w:t>
      </w:r>
      <w:r w:rsidRPr="00F212E7">
        <w:rPr>
          <w:rFonts w:eastAsia="仿宋_GB2312" w:hint="eastAsia"/>
          <w:bCs/>
          <w:caps/>
          <w:sz w:val="32"/>
          <w:szCs w:val="32"/>
        </w:rPr>
        <w:t>11.4%</w:t>
      </w:r>
      <w:r w:rsidRPr="00F212E7">
        <w:rPr>
          <w:rFonts w:eastAsia="仿宋_GB2312" w:hint="eastAsia"/>
          <w:bCs/>
          <w:caps/>
          <w:sz w:val="32"/>
          <w:szCs w:val="32"/>
        </w:rPr>
        <w:t>。私营企业实现产值</w:t>
      </w:r>
      <w:r w:rsidRPr="00F212E7">
        <w:rPr>
          <w:rFonts w:eastAsia="仿宋_GB2312" w:hint="eastAsia"/>
          <w:bCs/>
          <w:caps/>
          <w:sz w:val="32"/>
          <w:szCs w:val="32"/>
        </w:rPr>
        <w:t>659.56</w:t>
      </w:r>
      <w:r w:rsidRPr="00F212E7">
        <w:rPr>
          <w:rFonts w:eastAsia="仿宋_GB2312" w:hint="eastAsia"/>
          <w:bCs/>
          <w:caps/>
          <w:sz w:val="32"/>
          <w:szCs w:val="32"/>
        </w:rPr>
        <w:t>亿元，增长</w:t>
      </w:r>
      <w:r w:rsidRPr="00F212E7">
        <w:rPr>
          <w:rFonts w:eastAsia="仿宋_GB2312" w:hint="eastAsia"/>
          <w:bCs/>
          <w:caps/>
          <w:sz w:val="32"/>
          <w:szCs w:val="32"/>
        </w:rPr>
        <w:t>26.9%</w:t>
      </w:r>
      <w:r w:rsidRPr="00F212E7">
        <w:rPr>
          <w:rFonts w:eastAsia="仿宋_GB2312" w:hint="eastAsia"/>
          <w:bCs/>
          <w:caps/>
          <w:sz w:val="32"/>
          <w:szCs w:val="32"/>
        </w:rPr>
        <w:t>。</w:t>
      </w:r>
      <w:bookmarkEnd w:id="27"/>
      <w:bookmarkEnd w:id="28"/>
    </w:p>
    <w:p w:rsidR="0039368A" w:rsidRDefault="0039368A">
      <w:pPr>
        <w:widowControl/>
        <w:jc w:val="left"/>
        <w:rPr>
          <w:rFonts w:eastAsia="仿宋_GB2312"/>
          <w:kern w:val="0"/>
          <w:sz w:val="23"/>
          <w:szCs w:val="23"/>
        </w:rPr>
      </w:pPr>
      <w:r>
        <w:rPr>
          <w:rFonts w:eastAsia="仿宋_GB2312"/>
          <w:kern w:val="0"/>
          <w:sz w:val="23"/>
          <w:szCs w:val="23"/>
        </w:rPr>
        <w:br w:type="page"/>
      </w:r>
    </w:p>
    <w:p w:rsidR="00F014A3" w:rsidRPr="00F212E7" w:rsidRDefault="00CD538F">
      <w:pPr>
        <w:jc w:val="center"/>
        <w:rPr>
          <w:rFonts w:eastAsia="仿宋_GB2312"/>
          <w:kern w:val="0"/>
          <w:sz w:val="23"/>
          <w:szCs w:val="23"/>
        </w:rPr>
      </w:pPr>
      <w:r w:rsidRPr="00F212E7">
        <w:rPr>
          <w:rFonts w:eastAsia="仿宋_GB2312"/>
          <w:kern w:val="0"/>
          <w:sz w:val="23"/>
          <w:szCs w:val="23"/>
        </w:rPr>
        <w:lastRenderedPageBreak/>
        <w:t>图</w:t>
      </w:r>
      <w:r w:rsidRPr="00F212E7">
        <w:rPr>
          <w:rFonts w:eastAsia="仿宋_GB2312" w:hint="eastAsia"/>
          <w:kern w:val="0"/>
          <w:sz w:val="23"/>
          <w:szCs w:val="23"/>
        </w:rPr>
        <w:t xml:space="preserve">3  </w:t>
      </w:r>
      <w:r w:rsidRPr="00F212E7">
        <w:rPr>
          <w:rFonts w:eastAsia="仿宋_GB2312"/>
          <w:kern w:val="0"/>
          <w:sz w:val="23"/>
          <w:szCs w:val="23"/>
        </w:rPr>
        <w:t>20</w:t>
      </w:r>
      <w:r w:rsidRPr="00F212E7">
        <w:rPr>
          <w:rFonts w:eastAsia="仿宋_GB2312" w:hint="eastAsia"/>
          <w:kern w:val="0"/>
          <w:sz w:val="23"/>
          <w:szCs w:val="23"/>
        </w:rPr>
        <w:t>2</w:t>
      </w:r>
      <w:r w:rsidR="006D14F8" w:rsidRPr="00F212E7">
        <w:rPr>
          <w:rFonts w:eastAsia="仿宋_GB2312" w:hint="eastAsia"/>
          <w:kern w:val="0"/>
          <w:sz w:val="23"/>
          <w:szCs w:val="23"/>
        </w:rPr>
        <w:t>1</w:t>
      </w:r>
      <w:r w:rsidRPr="00F212E7">
        <w:rPr>
          <w:rFonts w:eastAsia="仿宋_GB2312"/>
          <w:kern w:val="0"/>
          <w:sz w:val="23"/>
          <w:szCs w:val="23"/>
        </w:rPr>
        <w:t>-202</w:t>
      </w:r>
      <w:r w:rsidR="006D14F8" w:rsidRPr="00F212E7">
        <w:rPr>
          <w:rFonts w:eastAsia="仿宋_GB2312" w:hint="eastAsia"/>
          <w:kern w:val="0"/>
          <w:sz w:val="23"/>
          <w:szCs w:val="23"/>
        </w:rPr>
        <w:t>5</w:t>
      </w:r>
      <w:r w:rsidRPr="00F212E7">
        <w:rPr>
          <w:rFonts w:eastAsia="仿宋_GB2312"/>
          <w:kern w:val="0"/>
          <w:sz w:val="23"/>
          <w:szCs w:val="23"/>
        </w:rPr>
        <w:t>年工业用电量与增长速度</w:t>
      </w:r>
    </w:p>
    <w:p w:rsidR="00F014A3" w:rsidRPr="00F212E7" w:rsidRDefault="006D14F8">
      <w:pPr>
        <w:ind w:firstLine="200"/>
        <w:jc w:val="center"/>
        <w:rPr>
          <w:rFonts w:eastAsia="仿宋_GB2312"/>
          <w:kern w:val="0"/>
          <w:sz w:val="23"/>
          <w:szCs w:val="23"/>
        </w:rPr>
      </w:pPr>
      <w:r w:rsidRPr="00F212E7">
        <w:rPr>
          <w:noProof/>
        </w:rPr>
        <w:drawing>
          <wp:inline distT="0" distB="0" distL="0" distR="0" wp14:anchorId="2C317299" wp14:editId="000611BB">
            <wp:extent cx="4838700" cy="2847975"/>
            <wp:effectExtent l="0" t="0" r="19050" b="9525"/>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9C2298" w:rsidRPr="00F212E7" w:rsidRDefault="009C2298" w:rsidP="009C2298">
      <w:pPr>
        <w:spacing w:line="560" w:lineRule="exact"/>
        <w:ind w:firstLineChars="200" w:firstLine="640"/>
        <w:outlineLvl w:val="0"/>
        <w:rPr>
          <w:rFonts w:eastAsia="仿宋_GB2312"/>
          <w:bCs/>
          <w:caps/>
          <w:sz w:val="32"/>
          <w:szCs w:val="32"/>
        </w:rPr>
      </w:pPr>
      <w:r w:rsidRPr="00F212E7">
        <w:rPr>
          <w:rFonts w:eastAsia="仿宋_GB2312" w:hint="eastAsia"/>
          <w:bCs/>
          <w:caps/>
          <w:sz w:val="32"/>
          <w:szCs w:val="32"/>
        </w:rPr>
        <w:t>全市</w:t>
      </w:r>
      <w:bookmarkStart w:id="29" w:name="OLE_LINK58"/>
      <w:bookmarkStart w:id="30" w:name="OLE_LINK59"/>
      <w:r w:rsidRPr="00F212E7">
        <w:rPr>
          <w:rFonts w:eastAsia="仿宋_GB2312" w:hint="eastAsia"/>
          <w:bCs/>
          <w:caps/>
          <w:sz w:val="32"/>
          <w:szCs w:val="32"/>
        </w:rPr>
        <w:t>完成建筑业总产值</w:t>
      </w:r>
      <w:r w:rsidRPr="00F212E7">
        <w:rPr>
          <w:rFonts w:eastAsia="仿宋_GB2312" w:hint="eastAsia"/>
          <w:bCs/>
          <w:caps/>
          <w:sz w:val="32"/>
          <w:szCs w:val="32"/>
        </w:rPr>
        <w:t>255.6</w:t>
      </w:r>
      <w:r w:rsidRPr="00F212E7">
        <w:rPr>
          <w:rFonts w:eastAsia="仿宋_GB2312" w:hint="eastAsia"/>
          <w:bCs/>
          <w:caps/>
          <w:sz w:val="32"/>
          <w:szCs w:val="32"/>
        </w:rPr>
        <w:t>亿元，</w:t>
      </w:r>
      <w:r w:rsidR="00C04A03" w:rsidRPr="00F212E7">
        <w:rPr>
          <w:rFonts w:eastAsia="仿宋_GB2312" w:hint="eastAsia"/>
          <w:bCs/>
          <w:caps/>
          <w:sz w:val="32"/>
          <w:szCs w:val="32"/>
        </w:rPr>
        <w:t>比上年</w:t>
      </w:r>
      <w:r w:rsidRPr="00F212E7">
        <w:rPr>
          <w:rFonts w:eastAsia="仿宋_GB2312" w:hint="eastAsia"/>
          <w:bCs/>
          <w:caps/>
          <w:sz w:val="32"/>
          <w:szCs w:val="32"/>
        </w:rPr>
        <w:t>增长</w:t>
      </w:r>
      <w:r w:rsidRPr="00F212E7">
        <w:rPr>
          <w:rFonts w:eastAsia="仿宋_GB2312" w:hint="eastAsia"/>
          <w:bCs/>
          <w:caps/>
          <w:sz w:val="32"/>
          <w:szCs w:val="32"/>
        </w:rPr>
        <w:t>21.9%</w:t>
      </w:r>
      <w:r w:rsidRPr="00F212E7">
        <w:rPr>
          <w:rFonts w:eastAsia="仿宋_GB2312" w:hint="eastAsia"/>
          <w:bCs/>
          <w:caps/>
          <w:sz w:val="32"/>
          <w:szCs w:val="32"/>
        </w:rPr>
        <w:t>，比金华平均水平（</w:t>
      </w:r>
      <w:r w:rsidRPr="00F212E7">
        <w:rPr>
          <w:rFonts w:eastAsia="仿宋_GB2312" w:hint="eastAsia"/>
          <w:bCs/>
          <w:caps/>
          <w:sz w:val="32"/>
          <w:szCs w:val="32"/>
        </w:rPr>
        <w:t>-11.2%</w:t>
      </w:r>
      <w:r w:rsidRPr="00F212E7">
        <w:rPr>
          <w:rFonts w:eastAsia="仿宋_GB2312" w:hint="eastAsia"/>
          <w:bCs/>
          <w:caps/>
          <w:sz w:val="32"/>
          <w:szCs w:val="32"/>
        </w:rPr>
        <w:t>）高出</w:t>
      </w:r>
      <w:r w:rsidRPr="00F212E7">
        <w:rPr>
          <w:rFonts w:eastAsia="仿宋_GB2312" w:hint="eastAsia"/>
          <w:bCs/>
          <w:caps/>
          <w:sz w:val="32"/>
          <w:szCs w:val="32"/>
        </w:rPr>
        <w:t>33.1</w:t>
      </w:r>
      <w:r w:rsidRPr="00F212E7">
        <w:rPr>
          <w:rFonts w:eastAsia="仿宋_GB2312" w:hint="eastAsia"/>
          <w:bCs/>
          <w:caps/>
          <w:sz w:val="32"/>
          <w:szCs w:val="32"/>
        </w:rPr>
        <w:t>个百分点，比全省平均水平（</w:t>
      </w:r>
      <w:r w:rsidRPr="00F212E7">
        <w:rPr>
          <w:rFonts w:eastAsia="仿宋_GB2312" w:hint="eastAsia"/>
          <w:bCs/>
          <w:caps/>
          <w:sz w:val="32"/>
          <w:szCs w:val="32"/>
        </w:rPr>
        <w:t>-9.1%</w:t>
      </w:r>
      <w:r w:rsidRPr="00F212E7">
        <w:rPr>
          <w:rFonts w:eastAsia="仿宋_GB2312" w:hint="eastAsia"/>
          <w:bCs/>
          <w:caps/>
          <w:sz w:val="32"/>
          <w:szCs w:val="32"/>
        </w:rPr>
        <w:t>）高出</w:t>
      </w:r>
      <w:r w:rsidRPr="00F212E7">
        <w:rPr>
          <w:rFonts w:eastAsia="仿宋_GB2312" w:hint="eastAsia"/>
          <w:bCs/>
          <w:caps/>
          <w:sz w:val="32"/>
          <w:szCs w:val="32"/>
        </w:rPr>
        <w:t>31.0</w:t>
      </w:r>
      <w:r w:rsidRPr="00F212E7">
        <w:rPr>
          <w:rFonts w:eastAsia="仿宋_GB2312" w:hint="eastAsia"/>
          <w:bCs/>
          <w:caps/>
          <w:sz w:val="32"/>
          <w:szCs w:val="32"/>
        </w:rPr>
        <w:t>个百分点。房屋施工面积为</w:t>
      </w:r>
      <w:r w:rsidRPr="00F212E7">
        <w:rPr>
          <w:rFonts w:eastAsia="仿宋_GB2312" w:hint="eastAsia"/>
          <w:bCs/>
          <w:caps/>
          <w:sz w:val="32"/>
          <w:szCs w:val="32"/>
        </w:rPr>
        <w:t>3131.5</w:t>
      </w:r>
      <w:r w:rsidRPr="00F212E7">
        <w:rPr>
          <w:rFonts w:eastAsia="仿宋_GB2312" w:hint="eastAsia"/>
          <w:bCs/>
          <w:caps/>
          <w:sz w:val="32"/>
          <w:szCs w:val="32"/>
        </w:rPr>
        <w:t>万</w:t>
      </w:r>
      <w:r w:rsidR="00C04A03" w:rsidRPr="00F212E7">
        <w:rPr>
          <w:rFonts w:eastAsia="仿宋_GB2312" w:hint="eastAsia"/>
          <w:bCs/>
          <w:caps/>
          <w:sz w:val="32"/>
          <w:szCs w:val="32"/>
        </w:rPr>
        <w:t>平方米</w:t>
      </w:r>
      <w:r w:rsidRPr="00F212E7">
        <w:rPr>
          <w:rFonts w:eastAsia="仿宋_GB2312" w:hint="eastAsia"/>
          <w:bCs/>
          <w:caps/>
          <w:sz w:val="32"/>
          <w:szCs w:val="32"/>
        </w:rPr>
        <w:t>，</w:t>
      </w:r>
      <w:r w:rsidR="00C04A03" w:rsidRPr="00F212E7">
        <w:rPr>
          <w:rFonts w:eastAsia="仿宋_GB2312" w:hint="eastAsia"/>
          <w:bCs/>
          <w:caps/>
          <w:sz w:val="32"/>
          <w:szCs w:val="32"/>
        </w:rPr>
        <w:t>比上年</w:t>
      </w:r>
      <w:r w:rsidRPr="00F212E7">
        <w:rPr>
          <w:rFonts w:eastAsia="仿宋_GB2312" w:hint="eastAsia"/>
          <w:bCs/>
          <w:caps/>
          <w:sz w:val="32"/>
          <w:szCs w:val="32"/>
        </w:rPr>
        <w:t>增长</w:t>
      </w:r>
      <w:r w:rsidRPr="00F212E7">
        <w:rPr>
          <w:rFonts w:eastAsia="仿宋_GB2312" w:hint="eastAsia"/>
          <w:bCs/>
          <w:caps/>
          <w:sz w:val="32"/>
          <w:szCs w:val="32"/>
        </w:rPr>
        <w:t>36.1%</w:t>
      </w:r>
      <w:r w:rsidRPr="00F212E7">
        <w:rPr>
          <w:rFonts w:eastAsia="仿宋_GB2312" w:hint="eastAsia"/>
          <w:bCs/>
          <w:caps/>
          <w:sz w:val="32"/>
          <w:szCs w:val="32"/>
        </w:rPr>
        <w:t>。其中，新开工面积为</w:t>
      </w:r>
      <w:r w:rsidRPr="00F212E7">
        <w:rPr>
          <w:rFonts w:eastAsia="仿宋_GB2312" w:hint="eastAsia"/>
          <w:bCs/>
          <w:caps/>
          <w:sz w:val="32"/>
          <w:szCs w:val="32"/>
        </w:rPr>
        <w:t>1294.9</w:t>
      </w:r>
      <w:r w:rsidRPr="00F212E7">
        <w:rPr>
          <w:rFonts w:eastAsia="仿宋_GB2312" w:hint="eastAsia"/>
          <w:bCs/>
          <w:caps/>
          <w:sz w:val="32"/>
          <w:szCs w:val="32"/>
        </w:rPr>
        <w:t>万</w:t>
      </w:r>
      <w:r w:rsidR="00C04A03" w:rsidRPr="00F212E7">
        <w:rPr>
          <w:rFonts w:eastAsia="仿宋_GB2312" w:hint="eastAsia"/>
          <w:bCs/>
          <w:caps/>
          <w:sz w:val="32"/>
          <w:szCs w:val="32"/>
        </w:rPr>
        <w:t>平方米</w:t>
      </w:r>
      <w:r w:rsidRPr="00F212E7">
        <w:rPr>
          <w:rFonts w:eastAsia="仿宋_GB2312" w:hint="eastAsia"/>
          <w:bCs/>
          <w:caps/>
          <w:sz w:val="32"/>
          <w:szCs w:val="32"/>
        </w:rPr>
        <w:t>，增长</w:t>
      </w:r>
      <w:r w:rsidRPr="00F212E7">
        <w:rPr>
          <w:rFonts w:eastAsia="仿宋_GB2312" w:hint="eastAsia"/>
          <w:bCs/>
          <w:caps/>
          <w:sz w:val="32"/>
          <w:szCs w:val="32"/>
        </w:rPr>
        <w:t>34.0%</w:t>
      </w:r>
      <w:r w:rsidRPr="00F212E7">
        <w:rPr>
          <w:rFonts w:eastAsia="仿宋_GB2312" w:hint="eastAsia"/>
          <w:bCs/>
          <w:caps/>
          <w:sz w:val="32"/>
          <w:szCs w:val="32"/>
        </w:rPr>
        <w:t>。</w:t>
      </w:r>
      <w:bookmarkEnd w:id="29"/>
      <w:bookmarkEnd w:id="30"/>
    </w:p>
    <w:p w:rsidR="00F014A3" w:rsidRPr="00F212E7" w:rsidRDefault="00CD538F" w:rsidP="00FB4CFD">
      <w:pPr>
        <w:spacing w:line="560" w:lineRule="exact"/>
        <w:ind w:firstLineChars="200" w:firstLine="723"/>
        <w:jc w:val="left"/>
        <w:outlineLvl w:val="0"/>
        <w:rPr>
          <w:rFonts w:eastAsia="仿宋_GB2312"/>
          <w:b/>
          <w:sz w:val="36"/>
        </w:rPr>
      </w:pPr>
      <w:r w:rsidRPr="00F212E7">
        <w:rPr>
          <w:rFonts w:eastAsia="仿宋_GB2312"/>
          <w:b/>
          <w:sz w:val="36"/>
        </w:rPr>
        <w:t>四、固定资产投资和房地产业</w:t>
      </w:r>
    </w:p>
    <w:p w:rsidR="009C2298" w:rsidRPr="00F212E7" w:rsidRDefault="009C2298" w:rsidP="009C2298">
      <w:pPr>
        <w:spacing w:line="560" w:lineRule="exact"/>
        <w:ind w:firstLineChars="200" w:firstLine="640"/>
        <w:outlineLvl w:val="0"/>
        <w:rPr>
          <w:rFonts w:eastAsia="仿宋_GB2312"/>
          <w:bCs/>
          <w:caps/>
          <w:sz w:val="32"/>
          <w:szCs w:val="32"/>
        </w:rPr>
      </w:pPr>
      <w:bookmarkStart w:id="31" w:name="OLE_LINK83"/>
      <w:bookmarkStart w:id="32" w:name="OLE_LINK84"/>
      <w:r w:rsidRPr="00F212E7">
        <w:rPr>
          <w:rFonts w:eastAsia="仿宋_GB2312" w:hint="eastAsia"/>
          <w:bCs/>
          <w:caps/>
          <w:sz w:val="32"/>
          <w:szCs w:val="32"/>
        </w:rPr>
        <w:t>全年固定资产投资比上年增长</w:t>
      </w:r>
      <w:r w:rsidRPr="00F212E7">
        <w:rPr>
          <w:rFonts w:eastAsia="仿宋_GB2312" w:hint="eastAsia"/>
          <w:bCs/>
          <w:caps/>
          <w:sz w:val="32"/>
          <w:szCs w:val="32"/>
        </w:rPr>
        <w:t>4.6%</w:t>
      </w:r>
      <w:r w:rsidRPr="00F212E7">
        <w:rPr>
          <w:rFonts w:eastAsia="仿宋_GB2312" w:hint="eastAsia"/>
          <w:bCs/>
          <w:caps/>
          <w:sz w:val="32"/>
          <w:szCs w:val="32"/>
        </w:rPr>
        <w:t>。其中，第二、三产业投资增速分别为</w:t>
      </w:r>
      <w:r w:rsidRPr="00F212E7">
        <w:rPr>
          <w:rFonts w:eastAsia="仿宋_GB2312" w:hint="eastAsia"/>
          <w:bCs/>
          <w:caps/>
          <w:sz w:val="32"/>
          <w:szCs w:val="32"/>
        </w:rPr>
        <w:t xml:space="preserve"> 14.8%</w:t>
      </w:r>
      <w:r w:rsidRPr="00F212E7">
        <w:rPr>
          <w:rFonts w:eastAsia="仿宋_GB2312" w:hint="eastAsia"/>
          <w:bCs/>
          <w:caps/>
          <w:sz w:val="32"/>
          <w:szCs w:val="32"/>
        </w:rPr>
        <w:t>和</w:t>
      </w:r>
      <w:r w:rsidRPr="00F212E7">
        <w:rPr>
          <w:rFonts w:eastAsia="仿宋_GB2312" w:hint="eastAsia"/>
          <w:bCs/>
          <w:caps/>
          <w:sz w:val="32"/>
          <w:szCs w:val="32"/>
        </w:rPr>
        <w:t xml:space="preserve"> 2.1%</w:t>
      </w:r>
      <w:r w:rsidRPr="00F212E7">
        <w:rPr>
          <w:rFonts w:eastAsia="仿宋_GB2312" w:hint="eastAsia"/>
          <w:bCs/>
          <w:caps/>
          <w:sz w:val="32"/>
          <w:szCs w:val="32"/>
        </w:rPr>
        <w:t>，占固定资产投资的比重分别为</w:t>
      </w:r>
      <w:r w:rsidRPr="00F212E7">
        <w:rPr>
          <w:rFonts w:eastAsia="仿宋_GB2312" w:hint="eastAsia"/>
          <w:bCs/>
          <w:caps/>
          <w:sz w:val="32"/>
          <w:szCs w:val="32"/>
        </w:rPr>
        <w:t xml:space="preserve"> 21.4%</w:t>
      </w:r>
      <w:r w:rsidRPr="00F212E7">
        <w:rPr>
          <w:rFonts w:eastAsia="仿宋_GB2312" w:hint="eastAsia"/>
          <w:bCs/>
          <w:caps/>
          <w:sz w:val="32"/>
          <w:szCs w:val="32"/>
        </w:rPr>
        <w:t>和</w:t>
      </w:r>
      <w:r w:rsidRPr="00F212E7">
        <w:rPr>
          <w:rFonts w:eastAsia="仿宋_GB2312" w:hint="eastAsia"/>
          <w:bCs/>
          <w:caps/>
          <w:sz w:val="32"/>
          <w:szCs w:val="32"/>
        </w:rPr>
        <w:t xml:space="preserve"> 78.5%</w:t>
      </w:r>
      <w:r w:rsidRPr="00F212E7">
        <w:rPr>
          <w:rFonts w:eastAsia="仿宋_GB2312" w:hint="eastAsia"/>
          <w:bCs/>
          <w:caps/>
          <w:sz w:val="32"/>
          <w:szCs w:val="32"/>
        </w:rPr>
        <w:t>，第二产业对全市固定资产投资增长拉动</w:t>
      </w:r>
      <w:r w:rsidRPr="00F212E7">
        <w:rPr>
          <w:rFonts w:eastAsia="仿宋_GB2312" w:hint="eastAsia"/>
          <w:bCs/>
          <w:caps/>
          <w:sz w:val="32"/>
          <w:szCs w:val="32"/>
        </w:rPr>
        <w:t>2.9</w:t>
      </w:r>
      <w:r w:rsidRPr="00F212E7">
        <w:rPr>
          <w:rFonts w:eastAsia="仿宋_GB2312" w:hint="eastAsia"/>
          <w:bCs/>
          <w:caps/>
          <w:sz w:val="32"/>
          <w:szCs w:val="32"/>
        </w:rPr>
        <w:t>个百分点。民间投资增长</w:t>
      </w:r>
      <w:r w:rsidRPr="00F212E7">
        <w:rPr>
          <w:rFonts w:eastAsia="仿宋_GB2312" w:hint="eastAsia"/>
          <w:bCs/>
          <w:caps/>
          <w:sz w:val="32"/>
          <w:szCs w:val="32"/>
        </w:rPr>
        <w:t>17.8%</w:t>
      </w:r>
      <w:r w:rsidRPr="00F212E7">
        <w:rPr>
          <w:rFonts w:eastAsia="仿宋_GB2312" w:hint="eastAsia"/>
          <w:bCs/>
          <w:caps/>
          <w:sz w:val="32"/>
          <w:szCs w:val="32"/>
        </w:rPr>
        <w:t>；交通投资增长</w:t>
      </w:r>
      <w:r w:rsidRPr="00F212E7">
        <w:rPr>
          <w:rFonts w:eastAsia="仿宋_GB2312" w:hint="eastAsia"/>
          <w:bCs/>
          <w:caps/>
          <w:sz w:val="32"/>
          <w:szCs w:val="32"/>
        </w:rPr>
        <w:t>13.8%</w:t>
      </w:r>
      <w:r w:rsidRPr="00F212E7">
        <w:rPr>
          <w:rFonts w:eastAsia="仿宋_GB2312" w:hint="eastAsia"/>
          <w:bCs/>
          <w:caps/>
          <w:sz w:val="32"/>
          <w:szCs w:val="32"/>
        </w:rPr>
        <w:t>；制造业投资增长</w:t>
      </w:r>
      <w:r w:rsidRPr="00F212E7">
        <w:rPr>
          <w:rFonts w:eastAsia="仿宋_GB2312" w:hint="eastAsia"/>
          <w:bCs/>
          <w:caps/>
          <w:sz w:val="32"/>
          <w:szCs w:val="32"/>
        </w:rPr>
        <w:t>18.1%</w:t>
      </w:r>
      <w:r w:rsidRPr="00F212E7">
        <w:rPr>
          <w:rFonts w:eastAsia="仿宋_GB2312" w:hint="eastAsia"/>
          <w:bCs/>
          <w:caps/>
          <w:sz w:val="32"/>
          <w:szCs w:val="32"/>
        </w:rPr>
        <w:t>；高技术产业投资增长</w:t>
      </w:r>
      <w:r w:rsidRPr="00F212E7">
        <w:rPr>
          <w:rFonts w:eastAsia="仿宋_GB2312" w:hint="eastAsia"/>
          <w:bCs/>
          <w:caps/>
          <w:sz w:val="32"/>
          <w:szCs w:val="32"/>
        </w:rPr>
        <w:t>40.9%</w:t>
      </w:r>
      <w:r w:rsidRPr="00F212E7">
        <w:rPr>
          <w:rFonts w:eastAsia="仿宋_GB2312" w:hint="eastAsia"/>
          <w:bCs/>
          <w:caps/>
          <w:sz w:val="32"/>
          <w:szCs w:val="32"/>
        </w:rPr>
        <w:t>。</w:t>
      </w:r>
      <w:bookmarkEnd w:id="31"/>
      <w:bookmarkEnd w:id="32"/>
    </w:p>
    <w:p w:rsidR="0039368A" w:rsidRDefault="0039368A">
      <w:pPr>
        <w:widowControl/>
        <w:jc w:val="left"/>
        <w:rPr>
          <w:rFonts w:eastAsia="仿宋_GB2312"/>
          <w:kern w:val="0"/>
          <w:sz w:val="23"/>
          <w:szCs w:val="23"/>
        </w:rPr>
      </w:pPr>
      <w:r>
        <w:rPr>
          <w:rFonts w:eastAsia="仿宋_GB2312"/>
          <w:kern w:val="0"/>
          <w:sz w:val="23"/>
          <w:szCs w:val="23"/>
        </w:rPr>
        <w:br w:type="page"/>
      </w:r>
    </w:p>
    <w:p w:rsidR="00F014A3" w:rsidRPr="00F212E7" w:rsidRDefault="00CD538F">
      <w:pPr>
        <w:jc w:val="center"/>
        <w:rPr>
          <w:rFonts w:eastAsia="仿宋_GB2312"/>
          <w:bCs/>
          <w:caps/>
          <w:sz w:val="32"/>
          <w:szCs w:val="32"/>
        </w:rPr>
      </w:pPr>
      <w:r w:rsidRPr="00F212E7">
        <w:rPr>
          <w:rFonts w:eastAsia="仿宋_GB2312"/>
          <w:kern w:val="0"/>
          <w:sz w:val="23"/>
          <w:szCs w:val="23"/>
        </w:rPr>
        <w:lastRenderedPageBreak/>
        <w:t>图</w:t>
      </w:r>
      <w:r w:rsidRPr="00F212E7">
        <w:rPr>
          <w:rFonts w:eastAsia="仿宋_GB2312" w:hint="eastAsia"/>
          <w:kern w:val="0"/>
          <w:sz w:val="23"/>
          <w:szCs w:val="23"/>
        </w:rPr>
        <w:t xml:space="preserve">4  </w:t>
      </w:r>
      <w:r w:rsidRPr="00F212E7">
        <w:rPr>
          <w:rFonts w:eastAsia="仿宋_GB2312"/>
          <w:kern w:val="0"/>
          <w:sz w:val="23"/>
          <w:szCs w:val="23"/>
        </w:rPr>
        <w:t>20</w:t>
      </w:r>
      <w:r w:rsidRPr="00F212E7">
        <w:rPr>
          <w:rFonts w:eastAsia="仿宋_GB2312" w:hint="eastAsia"/>
          <w:kern w:val="0"/>
          <w:sz w:val="23"/>
          <w:szCs w:val="23"/>
        </w:rPr>
        <w:t>2</w:t>
      </w:r>
      <w:r w:rsidR="009C2298" w:rsidRPr="00F212E7">
        <w:rPr>
          <w:rFonts w:eastAsia="仿宋_GB2312" w:hint="eastAsia"/>
          <w:kern w:val="0"/>
          <w:sz w:val="23"/>
          <w:szCs w:val="23"/>
        </w:rPr>
        <w:t>1</w:t>
      </w:r>
      <w:r w:rsidRPr="00F212E7">
        <w:rPr>
          <w:rFonts w:eastAsia="仿宋_GB2312"/>
          <w:kern w:val="0"/>
          <w:sz w:val="23"/>
          <w:szCs w:val="23"/>
        </w:rPr>
        <w:t>-202</w:t>
      </w:r>
      <w:r w:rsidR="009C2298" w:rsidRPr="00F212E7">
        <w:rPr>
          <w:rFonts w:eastAsia="仿宋_GB2312" w:hint="eastAsia"/>
          <w:kern w:val="0"/>
          <w:sz w:val="23"/>
          <w:szCs w:val="23"/>
        </w:rPr>
        <w:t>5</w:t>
      </w:r>
      <w:r w:rsidRPr="00F212E7">
        <w:rPr>
          <w:rFonts w:eastAsia="仿宋_GB2312"/>
          <w:kern w:val="0"/>
          <w:sz w:val="23"/>
          <w:szCs w:val="23"/>
        </w:rPr>
        <w:t>年固定资产投资增速</w:t>
      </w:r>
    </w:p>
    <w:p w:rsidR="00F014A3" w:rsidRPr="00F212E7" w:rsidRDefault="009C2298" w:rsidP="009C2298">
      <w:pPr>
        <w:ind w:firstLineChars="200" w:firstLine="420"/>
        <w:jc w:val="center"/>
        <w:rPr>
          <w:rFonts w:eastAsia="仿宋_GB2312"/>
          <w:kern w:val="0"/>
          <w:sz w:val="32"/>
          <w:szCs w:val="32"/>
        </w:rPr>
      </w:pPr>
      <w:r w:rsidRPr="00F212E7">
        <w:rPr>
          <w:noProof/>
        </w:rPr>
        <w:drawing>
          <wp:inline distT="0" distB="0" distL="0" distR="0" wp14:anchorId="03E2E49D" wp14:editId="32691EEC">
            <wp:extent cx="4800600" cy="3048000"/>
            <wp:effectExtent l="0" t="0" r="19050" b="19050"/>
            <wp:docPr id="15" name="图表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9C2298" w:rsidRPr="00F212E7" w:rsidRDefault="009C2298" w:rsidP="009C2298">
      <w:pPr>
        <w:spacing w:line="560" w:lineRule="exact"/>
        <w:ind w:firstLineChars="200" w:firstLine="640"/>
        <w:jc w:val="left"/>
        <w:outlineLvl w:val="0"/>
        <w:rPr>
          <w:rFonts w:eastAsia="仿宋_GB2312"/>
          <w:bCs/>
          <w:caps/>
          <w:sz w:val="32"/>
          <w:szCs w:val="32"/>
        </w:rPr>
      </w:pPr>
      <w:bookmarkStart w:id="33" w:name="OLE_LINK85"/>
      <w:r w:rsidRPr="00F212E7">
        <w:rPr>
          <w:rFonts w:eastAsia="仿宋_GB2312" w:hint="eastAsia"/>
          <w:bCs/>
          <w:caps/>
          <w:sz w:val="32"/>
          <w:szCs w:val="32"/>
        </w:rPr>
        <w:t>全年房地产开发投资比上年增长</w:t>
      </w:r>
      <w:r w:rsidRPr="00F212E7">
        <w:rPr>
          <w:rFonts w:eastAsia="仿宋_GB2312" w:hint="eastAsia"/>
          <w:bCs/>
          <w:caps/>
          <w:sz w:val="32"/>
          <w:szCs w:val="32"/>
        </w:rPr>
        <w:t>0.9%</w:t>
      </w:r>
      <w:r w:rsidRPr="00F212E7">
        <w:rPr>
          <w:rFonts w:eastAsia="仿宋_GB2312" w:hint="eastAsia"/>
          <w:bCs/>
          <w:caps/>
          <w:sz w:val="32"/>
          <w:szCs w:val="32"/>
        </w:rPr>
        <w:t>。商品房销售面积</w:t>
      </w:r>
      <w:r w:rsidRPr="00F212E7">
        <w:rPr>
          <w:rFonts w:eastAsia="仿宋_GB2312" w:hint="eastAsia"/>
          <w:bCs/>
          <w:caps/>
          <w:sz w:val="32"/>
          <w:szCs w:val="32"/>
        </w:rPr>
        <w:t>151.4</w:t>
      </w:r>
      <w:r w:rsidRPr="00F212E7">
        <w:rPr>
          <w:rFonts w:eastAsia="仿宋_GB2312" w:hint="eastAsia"/>
          <w:bCs/>
          <w:caps/>
          <w:sz w:val="32"/>
          <w:szCs w:val="32"/>
        </w:rPr>
        <w:t>万</w:t>
      </w:r>
      <w:bookmarkStart w:id="34" w:name="OLE_LINK20"/>
      <w:bookmarkStart w:id="35" w:name="OLE_LINK21"/>
      <w:r w:rsidRPr="00F212E7">
        <w:rPr>
          <w:rFonts w:eastAsia="仿宋_GB2312" w:hint="eastAsia"/>
          <w:bCs/>
          <w:caps/>
          <w:sz w:val="32"/>
          <w:szCs w:val="32"/>
        </w:rPr>
        <w:t>平方米</w:t>
      </w:r>
      <w:bookmarkEnd w:id="34"/>
      <w:bookmarkEnd w:id="35"/>
      <w:r w:rsidRPr="00F212E7">
        <w:rPr>
          <w:rFonts w:eastAsia="仿宋_GB2312" w:hint="eastAsia"/>
          <w:bCs/>
          <w:caps/>
          <w:sz w:val="32"/>
          <w:szCs w:val="32"/>
        </w:rPr>
        <w:t>，增长</w:t>
      </w:r>
      <w:r w:rsidRPr="00F212E7">
        <w:rPr>
          <w:rFonts w:eastAsia="仿宋_GB2312" w:hint="eastAsia"/>
          <w:bCs/>
          <w:caps/>
          <w:sz w:val="32"/>
          <w:szCs w:val="32"/>
        </w:rPr>
        <w:t>4.6%</w:t>
      </w:r>
      <w:r w:rsidRPr="00F212E7">
        <w:rPr>
          <w:rFonts w:eastAsia="仿宋_GB2312" w:hint="eastAsia"/>
          <w:bCs/>
          <w:caps/>
          <w:sz w:val="32"/>
          <w:szCs w:val="32"/>
        </w:rPr>
        <w:t>。</w:t>
      </w:r>
      <w:bookmarkEnd w:id="33"/>
    </w:p>
    <w:p w:rsidR="00F014A3" w:rsidRPr="00F212E7" w:rsidRDefault="00CD538F" w:rsidP="00FB4CFD">
      <w:pPr>
        <w:spacing w:line="560" w:lineRule="exact"/>
        <w:ind w:firstLineChars="200" w:firstLine="723"/>
        <w:outlineLvl w:val="0"/>
        <w:rPr>
          <w:rFonts w:eastAsia="仿宋_GB2312"/>
          <w:kern w:val="0"/>
          <w:sz w:val="32"/>
          <w:szCs w:val="32"/>
        </w:rPr>
      </w:pPr>
      <w:r w:rsidRPr="00F212E7">
        <w:rPr>
          <w:rFonts w:eastAsia="仿宋_GB2312"/>
          <w:b/>
          <w:sz w:val="36"/>
        </w:rPr>
        <w:t>五、国内贸易</w:t>
      </w:r>
    </w:p>
    <w:p w:rsidR="00887E45" w:rsidRPr="00F212E7" w:rsidRDefault="00887E45" w:rsidP="00887E45">
      <w:pPr>
        <w:spacing w:line="560" w:lineRule="exact"/>
        <w:ind w:firstLineChars="200" w:firstLine="640"/>
        <w:outlineLvl w:val="0"/>
        <w:rPr>
          <w:rFonts w:eastAsia="仿宋_GB2312"/>
          <w:bCs/>
          <w:caps/>
          <w:sz w:val="32"/>
          <w:szCs w:val="32"/>
        </w:rPr>
      </w:pPr>
      <w:bookmarkStart w:id="36" w:name="OLE_LINK62"/>
      <w:bookmarkStart w:id="37" w:name="OLE_LINK63"/>
      <w:r w:rsidRPr="00F212E7">
        <w:rPr>
          <w:rFonts w:eastAsia="仿宋_GB2312" w:hint="eastAsia"/>
          <w:bCs/>
          <w:caps/>
          <w:sz w:val="32"/>
          <w:szCs w:val="32"/>
        </w:rPr>
        <w:t>全年实现社会消费品零售总额</w:t>
      </w:r>
      <w:r w:rsidRPr="00F212E7">
        <w:rPr>
          <w:rFonts w:eastAsia="仿宋_GB2312" w:hint="eastAsia"/>
          <w:bCs/>
          <w:caps/>
          <w:sz w:val="32"/>
          <w:szCs w:val="32"/>
        </w:rPr>
        <w:t>2153.84</w:t>
      </w:r>
      <w:r w:rsidRPr="00F212E7">
        <w:rPr>
          <w:rFonts w:eastAsia="仿宋_GB2312" w:hint="eastAsia"/>
          <w:bCs/>
          <w:caps/>
          <w:sz w:val="32"/>
          <w:szCs w:val="32"/>
        </w:rPr>
        <w:t>亿元，比上年增长</w:t>
      </w:r>
      <w:r w:rsidRPr="00F212E7">
        <w:rPr>
          <w:rFonts w:eastAsia="仿宋_GB2312" w:hint="eastAsia"/>
          <w:bCs/>
          <w:caps/>
          <w:sz w:val="32"/>
          <w:szCs w:val="32"/>
        </w:rPr>
        <w:t>5.2%</w:t>
      </w:r>
      <w:r w:rsidRPr="00F212E7">
        <w:rPr>
          <w:rFonts w:eastAsia="仿宋_GB2312" w:hint="eastAsia"/>
          <w:bCs/>
          <w:caps/>
          <w:sz w:val="32"/>
          <w:szCs w:val="32"/>
        </w:rPr>
        <w:t>。其中限额以上单位实现消费品零售总额</w:t>
      </w:r>
      <w:r w:rsidRPr="00F212E7">
        <w:rPr>
          <w:rFonts w:eastAsia="仿宋_GB2312" w:hint="eastAsia"/>
          <w:bCs/>
          <w:caps/>
          <w:sz w:val="32"/>
          <w:szCs w:val="32"/>
        </w:rPr>
        <w:t>350.5</w:t>
      </w:r>
      <w:r w:rsidRPr="00F212E7">
        <w:rPr>
          <w:rFonts w:eastAsia="仿宋_GB2312" w:hint="eastAsia"/>
          <w:bCs/>
          <w:caps/>
          <w:sz w:val="32"/>
          <w:szCs w:val="32"/>
        </w:rPr>
        <w:t>亿元，增长</w:t>
      </w:r>
      <w:r w:rsidRPr="00F212E7">
        <w:rPr>
          <w:rFonts w:eastAsia="仿宋_GB2312" w:hint="eastAsia"/>
          <w:bCs/>
          <w:caps/>
          <w:sz w:val="32"/>
          <w:szCs w:val="32"/>
        </w:rPr>
        <w:t>11.2%</w:t>
      </w:r>
      <w:r w:rsidRPr="00F212E7">
        <w:rPr>
          <w:rFonts w:eastAsia="仿宋_GB2312" w:hint="eastAsia"/>
          <w:bCs/>
          <w:caps/>
          <w:sz w:val="32"/>
          <w:szCs w:val="32"/>
        </w:rPr>
        <w:t>。</w:t>
      </w:r>
      <w:bookmarkStart w:id="38" w:name="OLE_LINK65"/>
      <w:bookmarkStart w:id="39" w:name="OLE_LINK66"/>
      <w:bookmarkEnd w:id="36"/>
      <w:bookmarkEnd w:id="37"/>
      <w:r w:rsidRPr="00F212E7">
        <w:rPr>
          <w:rFonts w:eastAsia="仿宋_GB2312" w:hint="eastAsia"/>
          <w:bCs/>
          <w:caps/>
          <w:sz w:val="32"/>
          <w:szCs w:val="32"/>
        </w:rPr>
        <w:t>分行业看，限额以上批发业零售额</w:t>
      </w:r>
      <w:r w:rsidRPr="00F212E7">
        <w:rPr>
          <w:rFonts w:eastAsia="仿宋_GB2312" w:hint="eastAsia"/>
          <w:bCs/>
          <w:caps/>
          <w:sz w:val="32"/>
          <w:szCs w:val="32"/>
        </w:rPr>
        <w:t>7.9</w:t>
      </w:r>
      <w:r w:rsidRPr="00F212E7">
        <w:rPr>
          <w:rFonts w:eastAsia="仿宋_GB2312" w:hint="eastAsia"/>
          <w:bCs/>
          <w:caps/>
          <w:sz w:val="32"/>
          <w:szCs w:val="32"/>
        </w:rPr>
        <w:t>亿元，下降</w:t>
      </w:r>
      <w:r w:rsidRPr="00F212E7">
        <w:rPr>
          <w:rFonts w:eastAsia="仿宋_GB2312" w:hint="eastAsia"/>
          <w:bCs/>
          <w:caps/>
          <w:sz w:val="32"/>
          <w:szCs w:val="32"/>
        </w:rPr>
        <w:t>40.9%</w:t>
      </w:r>
      <w:r w:rsidRPr="00F212E7">
        <w:rPr>
          <w:rFonts w:eastAsia="仿宋_GB2312" w:hint="eastAsia"/>
          <w:bCs/>
          <w:caps/>
          <w:sz w:val="32"/>
          <w:szCs w:val="32"/>
        </w:rPr>
        <w:t>；限额以上零售业零售额</w:t>
      </w:r>
      <w:r w:rsidRPr="00F212E7">
        <w:rPr>
          <w:rFonts w:eastAsia="仿宋_GB2312" w:hint="eastAsia"/>
          <w:bCs/>
          <w:caps/>
          <w:sz w:val="32"/>
          <w:szCs w:val="32"/>
        </w:rPr>
        <w:t>334.9</w:t>
      </w:r>
      <w:r w:rsidRPr="00F212E7">
        <w:rPr>
          <w:rFonts w:eastAsia="仿宋_GB2312" w:hint="eastAsia"/>
          <w:bCs/>
          <w:caps/>
          <w:sz w:val="32"/>
          <w:szCs w:val="32"/>
        </w:rPr>
        <w:t>亿元，增长</w:t>
      </w:r>
      <w:r w:rsidRPr="00F212E7">
        <w:rPr>
          <w:rFonts w:eastAsia="仿宋_GB2312" w:hint="eastAsia"/>
          <w:bCs/>
          <w:caps/>
          <w:sz w:val="32"/>
          <w:szCs w:val="32"/>
        </w:rPr>
        <w:t>13.2%</w:t>
      </w:r>
      <w:r w:rsidRPr="00F212E7">
        <w:rPr>
          <w:rFonts w:eastAsia="仿宋_GB2312" w:hint="eastAsia"/>
          <w:bCs/>
          <w:caps/>
          <w:sz w:val="32"/>
          <w:szCs w:val="32"/>
        </w:rPr>
        <w:t>；限额以上住宿业零售额</w:t>
      </w:r>
      <w:r w:rsidRPr="00F212E7">
        <w:rPr>
          <w:rFonts w:eastAsia="仿宋_GB2312" w:hint="eastAsia"/>
          <w:bCs/>
          <w:caps/>
          <w:sz w:val="32"/>
          <w:szCs w:val="32"/>
        </w:rPr>
        <w:t>2.7</w:t>
      </w:r>
      <w:r w:rsidRPr="00F212E7">
        <w:rPr>
          <w:rFonts w:eastAsia="仿宋_GB2312" w:hint="eastAsia"/>
          <w:bCs/>
          <w:caps/>
          <w:sz w:val="32"/>
          <w:szCs w:val="32"/>
        </w:rPr>
        <w:t>亿元，增长</w:t>
      </w:r>
      <w:r w:rsidRPr="00F212E7">
        <w:rPr>
          <w:rFonts w:eastAsia="仿宋_GB2312" w:hint="eastAsia"/>
          <w:bCs/>
          <w:caps/>
          <w:sz w:val="32"/>
          <w:szCs w:val="32"/>
        </w:rPr>
        <w:t>6.0%</w:t>
      </w:r>
      <w:r w:rsidRPr="00F212E7">
        <w:rPr>
          <w:rFonts w:eastAsia="仿宋_GB2312" w:hint="eastAsia"/>
          <w:bCs/>
          <w:caps/>
          <w:sz w:val="32"/>
          <w:szCs w:val="32"/>
        </w:rPr>
        <w:t>；限额以上餐饮业零售额</w:t>
      </w:r>
      <w:r w:rsidRPr="00F212E7">
        <w:rPr>
          <w:rFonts w:eastAsia="仿宋_GB2312" w:hint="eastAsia"/>
          <w:bCs/>
          <w:caps/>
          <w:sz w:val="32"/>
          <w:szCs w:val="32"/>
        </w:rPr>
        <w:t>5.0</w:t>
      </w:r>
      <w:r w:rsidRPr="00F212E7">
        <w:rPr>
          <w:rFonts w:eastAsia="仿宋_GB2312" w:hint="eastAsia"/>
          <w:bCs/>
          <w:caps/>
          <w:sz w:val="32"/>
          <w:szCs w:val="32"/>
        </w:rPr>
        <w:t>亿元，增长</w:t>
      </w:r>
      <w:r w:rsidRPr="00F212E7">
        <w:rPr>
          <w:rFonts w:eastAsia="仿宋_GB2312" w:hint="eastAsia"/>
          <w:bCs/>
          <w:caps/>
          <w:sz w:val="32"/>
          <w:szCs w:val="32"/>
        </w:rPr>
        <w:t>31.1%</w:t>
      </w:r>
      <w:r w:rsidRPr="00F212E7">
        <w:rPr>
          <w:rFonts w:eastAsia="仿宋_GB2312" w:hint="eastAsia"/>
          <w:bCs/>
          <w:caps/>
          <w:sz w:val="32"/>
          <w:szCs w:val="32"/>
        </w:rPr>
        <w:t>。</w:t>
      </w:r>
      <w:bookmarkStart w:id="40" w:name="OLE_LINK67"/>
      <w:bookmarkStart w:id="41" w:name="OLE_LINK68"/>
      <w:bookmarkEnd w:id="38"/>
      <w:bookmarkEnd w:id="39"/>
      <w:r w:rsidRPr="00F212E7">
        <w:rPr>
          <w:rFonts w:eastAsia="仿宋_GB2312" w:hint="eastAsia"/>
          <w:bCs/>
          <w:caps/>
          <w:sz w:val="32"/>
          <w:szCs w:val="32"/>
        </w:rPr>
        <w:t>限额以上单位消费品零售额中，粮油食品类、日用品类等商品零售额分别增长</w:t>
      </w:r>
      <w:r w:rsidRPr="00F212E7">
        <w:rPr>
          <w:rFonts w:eastAsia="仿宋_GB2312" w:hint="eastAsia"/>
          <w:bCs/>
          <w:caps/>
          <w:sz w:val="32"/>
          <w:szCs w:val="32"/>
        </w:rPr>
        <w:t>25.2%</w:t>
      </w:r>
      <w:r w:rsidRPr="00F212E7">
        <w:rPr>
          <w:rFonts w:eastAsia="仿宋_GB2312" w:hint="eastAsia"/>
          <w:bCs/>
          <w:caps/>
          <w:sz w:val="32"/>
          <w:szCs w:val="32"/>
        </w:rPr>
        <w:t>、</w:t>
      </w:r>
      <w:r w:rsidRPr="00F212E7">
        <w:rPr>
          <w:rFonts w:eastAsia="仿宋_GB2312" w:hint="eastAsia"/>
          <w:bCs/>
          <w:caps/>
          <w:sz w:val="32"/>
          <w:szCs w:val="32"/>
        </w:rPr>
        <w:t>13.8%</w:t>
      </w:r>
      <w:r w:rsidRPr="00F212E7">
        <w:rPr>
          <w:rFonts w:eastAsia="仿宋_GB2312" w:hint="eastAsia"/>
          <w:bCs/>
          <w:caps/>
          <w:sz w:val="32"/>
          <w:szCs w:val="32"/>
        </w:rPr>
        <w:t>；家电、数码等消费品在各级补贴政策的支持下快速增长，限额以上单位通讯器材类、计算机及其配套产品类、智能家用电器和音像器材类零售额分别增长</w:t>
      </w:r>
      <w:r w:rsidRPr="00F212E7">
        <w:rPr>
          <w:rFonts w:eastAsia="仿宋_GB2312" w:hint="eastAsia"/>
          <w:bCs/>
          <w:caps/>
          <w:sz w:val="32"/>
          <w:szCs w:val="32"/>
        </w:rPr>
        <w:t>229.3%</w:t>
      </w:r>
      <w:r w:rsidRPr="00F212E7">
        <w:rPr>
          <w:rFonts w:eastAsia="仿宋_GB2312" w:hint="eastAsia"/>
          <w:bCs/>
          <w:caps/>
          <w:sz w:val="32"/>
          <w:szCs w:val="32"/>
        </w:rPr>
        <w:t>、</w:t>
      </w:r>
      <w:r w:rsidRPr="00F212E7">
        <w:rPr>
          <w:rFonts w:eastAsia="仿宋_GB2312" w:hint="eastAsia"/>
          <w:bCs/>
          <w:caps/>
          <w:sz w:val="32"/>
          <w:szCs w:val="32"/>
        </w:rPr>
        <w:t>156.7%</w:t>
      </w:r>
      <w:r w:rsidRPr="00F212E7">
        <w:rPr>
          <w:rFonts w:eastAsia="仿宋_GB2312" w:hint="eastAsia"/>
          <w:bCs/>
          <w:caps/>
          <w:sz w:val="32"/>
          <w:szCs w:val="32"/>
        </w:rPr>
        <w:t>、</w:t>
      </w:r>
      <w:r w:rsidRPr="00F212E7">
        <w:rPr>
          <w:rFonts w:eastAsia="仿宋_GB2312" w:hint="eastAsia"/>
          <w:bCs/>
          <w:caps/>
          <w:sz w:val="32"/>
          <w:szCs w:val="32"/>
        </w:rPr>
        <w:t>77.6%</w:t>
      </w:r>
      <w:r w:rsidRPr="00F212E7">
        <w:rPr>
          <w:rFonts w:eastAsia="仿宋_GB2312" w:hint="eastAsia"/>
          <w:bCs/>
          <w:caps/>
          <w:sz w:val="32"/>
          <w:szCs w:val="32"/>
        </w:rPr>
        <w:t>。</w:t>
      </w:r>
      <w:bookmarkEnd w:id="40"/>
      <w:bookmarkEnd w:id="41"/>
    </w:p>
    <w:p w:rsidR="0038484B" w:rsidRPr="00F212E7" w:rsidRDefault="0038484B" w:rsidP="0038484B">
      <w:pPr>
        <w:spacing w:line="560" w:lineRule="exact"/>
        <w:ind w:firstLineChars="200" w:firstLine="640"/>
        <w:jc w:val="left"/>
        <w:outlineLvl w:val="0"/>
        <w:rPr>
          <w:rFonts w:eastAsia="仿宋_GB2312"/>
          <w:bCs/>
          <w:caps/>
          <w:sz w:val="32"/>
          <w:szCs w:val="32"/>
        </w:rPr>
      </w:pPr>
      <w:r w:rsidRPr="00F212E7">
        <w:rPr>
          <w:rFonts w:eastAsia="仿宋_GB2312" w:hint="eastAsia"/>
          <w:bCs/>
          <w:caps/>
          <w:sz w:val="32"/>
          <w:szCs w:val="32"/>
        </w:rPr>
        <w:t>2025</w:t>
      </w:r>
      <w:r w:rsidRPr="00F212E7">
        <w:rPr>
          <w:rFonts w:eastAsia="仿宋_GB2312" w:hint="eastAsia"/>
          <w:bCs/>
          <w:caps/>
          <w:sz w:val="32"/>
          <w:szCs w:val="32"/>
        </w:rPr>
        <w:t>年</w:t>
      </w:r>
      <w:r w:rsidRPr="00F212E7">
        <w:rPr>
          <w:rFonts w:eastAsia="仿宋_GB2312" w:hint="eastAsia"/>
          <w:bCs/>
          <w:caps/>
          <w:sz w:val="32"/>
          <w:szCs w:val="32"/>
        </w:rPr>
        <w:t>5</w:t>
      </w:r>
      <w:r w:rsidRPr="00F212E7">
        <w:rPr>
          <w:rFonts w:eastAsia="仿宋_GB2312" w:hint="eastAsia"/>
          <w:bCs/>
          <w:caps/>
          <w:sz w:val="32"/>
          <w:szCs w:val="32"/>
        </w:rPr>
        <w:t>月，全市在册经营主体总数突破</w:t>
      </w:r>
      <w:r w:rsidRPr="00F212E7">
        <w:rPr>
          <w:rFonts w:eastAsia="仿宋_GB2312" w:hint="eastAsia"/>
          <w:bCs/>
          <w:caps/>
          <w:sz w:val="32"/>
          <w:szCs w:val="32"/>
        </w:rPr>
        <w:t>120</w:t>
      </w:r>
      <w:r w:rsidRPr="00F212E7">
        <w:rPr>
          <w:rFonts w:eastAsia="仿宋_GB2312" w:hint="eastAsia"/>
          <w:bCs/>
          <w:caps/>
          <w:sz w:val="32"/>
          <w:szCs w:val="32"/>
        </w:rPr>
        <w:t>万户，位</w:t>
      </w:r>
      <w:r w:rsidRPr="00F212E7">
        <w:rPr>
          <w:rFonts w:eastAsia="仿宋_GB2312" w:hint="eastAsia"/>
          <w:bCs/>
          <w:caps/>
          <w:sz w:val="32"/>
          <w:szCs w:val="32"/>
        </w:rPr>
        <w:lastRenderedPageBreak/>
        <w:t>居全国县级区域第一；同年</w:t>
      </w:r>
      <w:r w:rsidRPr="00F212E7">
        <w:rPr>
          <w:rFonts w:eastAsia="仿宋_GB2312" w:hint="eastAsia"/>
          <w:bCs/>
          <w:caps/>
          <w:sz w:val="32"/>
          <w:szCs w:val="32"/>
        </w:rPr>
        <w:t>7</w:t>
      </w:r>
      <w:r w:rsidRPr="00F212E7">
        <w:rPr>
          <w:rFonts w:eastAsia="仿宋_GB2312" w:hint="eastAsia"/>
          <w:bCs/>
          <w:caps/>
          <w:sz w:val="32"/>
          <w:szCs w:val="32"/>
        </w:rPr>
        <w:t>月，外资经营主体总数突破</w:t>
      </w:r>
      <w:r w:rsidRPr="00F212E7">
        <w:rPr>
          <w:rFonts w:eastAsia="仿宋_GB2312" w:hint="eastAsia"/>
          <w:bCs/>
          <w:caps/>
          <w:sz w:val="32"/>
          <w:szCs w:val="32"/>
        </w:rPr>
        <w:t>1</w:t>
      </w:r>
      <w:r w:rsidRPr="00F212E7">
        <w:rPr>
          <w:rFonts w:eastAsia="仿宋_GB2312" w:hint="eastAsia"/>
          <w:bCs/>
          <w:caps/>
          <w:sz w:val="32"/>
          <w:szCs w:val="32"/>
        </w:rPr>
        <w:t>万户，成为全国首个外资经营主体破万的县级市。截至</w:t>
      </w:r>
      <w:r w:rsidRPr="00F212E7">
        <w:rPr>
          <w:rFonts w:eastAsia="仿宋_GB2312" w:hint="eastAsia"/>
          <w:bCs/>
          <w:caps/>
          <w:sz w:val="32"/>
          <w:szCs w:val="32"/>
        </w:rPr>
        <w:t>2025</w:t>
      </w:r>
      <w:r w:rsidRPr="00F212E7">
        <w:rPr>
          <w:rFonts w:eastAsia="仿宋_GB2312" w:hint="eastAsia"/>
          <w:bCs/>
          <w:caps/>
          <w:sz w:val="32"/>
          <w:szCs w:val="32"/>
        </w:rPr>
        <w:t>年底，全市在册经营主体总数为</w:t>
      </w:r>
      <w:r w:rsidRPr="00F212E7">
        <w:rPr>
          <w:rFonts w:eastAsia="仿宋_GB2312" w:hint="eastAsia"/>
          <w:bCs/>
          <w:caps/>
          <w:sz w:val="32"/>
          <w:szCs w:val="32"/>
        </w:rPr>
        <w:t>126.30</w:t>
      </w:r>
      <w:r w:rsidRPr="00F212E7">
        <w:rPr>
          <w:rFonts w:eastAsia="仿宋_GB2312" w:hint="eastAsia"/>
          <w:bCs/>
          <w:caps/>
          <w:sz w:val="32"/>
          <w:szCs w:val="32"/>
        </w:rPr>
        <w:t>万户（其中外资</w:t>
      </w:r>
      <w:r w:rsidRPr="00F212E7">
        <w:rPr>
          <w:rFonts w:eastAsia="仿宋_GB2312" w:hint="eastAsia"/>
          <w:bCs/>
          <w:caps/>
          <w:sz w:val="32"/>
          <w:szCs w:val="32"/>
        </w:rPr>
        <w:t>11071</w:t>
      </w:r>
      <w:r w:rsidRPr="00F212E7">
        <w:rPr>
          <w:rFonts w:eastAsia="仿宋_GB2312" w:hint="eastAsia"/>
          <w:bCs/>
          <w:caps/>
          <w:sz w:val="32"/>
          <w:szCs w:val="32"/>
        </w:rPr>
        <w:t>户），比上年增长</w:t>
      </w:r>
      <w:r w:rsidRPr="00F212E7">
        <w:rPr>
          <w:rFonts w:eastAsia="仿宋_GB2312" w:hint="eastAsia"/>
          <w:bCs/>
          <w:caps/>
          <w:sz w:val="32"/>
          <w:szCs w:val="32"/>
        </w:rPr>
        <w:t>9.4%</w:t>
      </w:r>
      <w:r w:rsidRPr="00F212E7">
        <w:rPr>
          <w:rFonts w:eastAsia="仿宋_GB2312" w:hint="eastAsia"/>
          <w:bCs/>
          <w:caps/>
          <w:sz w:val="32"/>
          <w:szCs w:val="32"/>
        </w:rPr>
        <w:t>。新设内资经营主体</w:t>
      </w:r>
      <w:r w:rsidRPr="00F212E7">
        <w:rPr>
          <w:rFonts w:eastAsia="仿宋_GB2312" w:hint="eastAsia"/>
          <w:bCs/>
          <w:caps/>
          <w:sz w:val="32"/>
          <w:szCs w:val="32"/>
        </w:rPr>
        <w:t>223337</w:t>
      </w:r>
      <w:r w:rsidRPr="00F212E7">
        <w:rPr>
          <w:rFonts w:eastAsia="仿宋_GB2312" w:hint="eastAsia"/>
          <w:bCs/>
          <w:caps/>
          <w:sz w:val="32"/>
          <w:szCs w:val="32"/>
        </w:rPr>
        <w:t>户，增长</w:t>
      </w:r>
      <w:r w:rsidRPr="00F212E7">
        <w:rPr>
          <w:rFonts w:eastAsia="仿宋_GB2312" w:hint="eastAsia"/>
          <w:bCs/>
          <w:caps/>
          <w:sz w:val="32"/>
          <w:szCs w:val="32"/>
        </w:rPr>
        <w:t>5.5%</w:t>
      </w:r>
      <w:r w:rsidRPr="00F212E7">
        <w:rPr>
          <w:rFonts w:eastAsia="仿宋_GB2312" w:hint="eastAsia"/>
          <w:bCs/>
          <w:caps/>
          <w:sz w:val="32"/>
          <w:szCs w:val="32"/>
        </w:rPr>
        <w:t>，其中内资企业</w:t>
      </w:r>
      <w:r w:rsidRPr="00F212E7">
        <w:rPr>
          <w:rFonts w:eastAsia="仿宋_GB2312" w:hint="eastAsia"/>
          <w:bCs/>
          <w:caps/>
          <w:sz w:val="32"/>
          <w:szCs w:val="32"/>
        </w:rPr>
        <w:t>80197</w:t>
      </w:r>
      <w:r w:rsidRPr="00F212E7">
        <w:rPr>
          <w:rFonts w:eastAsia="仿宋_GB2312" w:hint="eastAsia"/>
          <w:bCs/>
          <w:caps/>
          <w:sz w:val="32"/>
          <w:szCs w:val="32"/>
        </w:rPr>
        <w:t>户，增长</w:t>
      </w:r>
      <w:r w:rsidRPr="00F212E7">
        <w:rPr>
          <w:rFonts w:eastAsia="仿宋_GB2312" w:hint="eastAsia"/>
          <w:bCs/>
          <w:caps/>
          <w:sz w:val="32"/>
          <w:szCs w:val="32"/>
        </w:rPr>
        <w:t>30.6%</w:t>
      </w:r>
      <w:r w:rsidRPr="00F212E7">
        <w:rPr>
          <w:rFonts w:eastAsia="仿宋_GB2312" w:hint="eastAsia"/>
          <w:bCs/>
          <w:caps/>
          <w:sz w:val="32"/>
          <w:szCs w:val="32"/>
        </w:rPr>
        <w:t>；个体工商户</w:t>
      </w:r>
      <w:r w:rsidRPr="00F212E7">
        <w:rPr>
          <w:rFonts w:eastAsia="仿宋_GB2312" w:hint="eastAsia"/>
          <w:bCs/>
          <w:caps/>
          <w:sz w:val="32"/>
          <w:szCs w:val="32"/>
        </w:rPr>
        <w:t>143140</w:t>
      </w:r>
      <w:r w:rsidRPr="00F212E7">
        <w:rPr>
          <w:rFonts w:eastAsia="仿宋_GB2312" w:hint="eastAsia"/>
          <w:bCs/>
          <w:caps/>
          <w:sz w:val="32"/>
          <w:szCs w:val="32"/>
        </w:rPr>
        <w:t>户（内资），下降</w:t>
      </w:r>
      <w:r w:rsidRPr="00F212E7">
        <w:rPr>
          <w:rFonts w:eastAsia="仿宋_GB2312" w:hint="eastAsia"/>
          <w:bCs/>
          <w:caps/>
          <w:sz w:val="32"/>
          <w:szCs w:val="32"/>
        </w:rPr>
        <w:t>4.8%</w:t>
      </w:r>
      <w:r w:rsidRPr="00F212E7">
        <w:rPr>
          <w:rFonts w:eastAsia="仿宋_GB2312" w:hint="eastAsia"/>
          <w:bCs/>
          <w:caps/>
          <w:sz w:val="32"/>
          <w:szCs w:val="32"/>
        </w:rPr>
        <w:t>。</w:t>
      </w:r>
    </w:p>
    <w:p w:rsidR="0038484B" w:rsidRPr="00F212E7" w:rsidRDefault="0038484B" w:rsidP="0038484B">
      <w:pPr>
        <w:spacing w:line="560" w:lineRule="exact"/>
        <w:ind w:firstLineChars="200" w:firstLine="640"/>
        <w:jc w:val="left"/>
        <w:outlineLvl w:val="0"/>
        <w:rPr>
          <w:rFonts w:eastAsia="仿宋_GB2312"/>
          <w:bCs/>
          <w:caps/>
          <w:sz w:val="32"/>
          <w:szCs w:val="32"/>
        </w:rPr>
      </w:pPr>
      <w:bookmarkStart w:id="42" w:name="OLE_LINK69"/>
      <w:bookmarkStart w:id="43" w:name="OLE_LINK70"/>
      <w:r w:rsidRPr="00F212E7">
        <w:rPr>
          <w:rFonts w:eastAsia="仿宋_GB2312" w:hint="eastAsia"/>
          <w:bCs/>
          <w:caps/>
          <w:sz w:val="32"/>
          <w:szCs w:val="32"/>
        </w:rPr>
        <w:t>全市拥有有证市场建筑面积</w:t>
      </w:r>
      <w:r w:rsidRPr="00F212E7">
        <w:rPr>
          <w:rFonts w:eastAsia="仿宋_GB2312" w:hint="eastAsia"/>
          <w:bCs/>
          <w:caps/>
          <w:sz w:val="32"/>
          <w:szCs w:val="32"/>
        </w:rPr>
        <w:t>759.44</w:t>
      </w:r>
      <w:r w:rsidRPr="00F212E7">
        <w:rPr>
          <w:rFonts w:eastAsia="仿宋_GB2312" w:hint="eastAsia"/>
          <w:bCs/>
          <w:caps/>
          <w:sz w:val="32"/>
          <w:szCs w:val="32"/>
        </w:rPr>
        <w:t>万平方米，市场经营户数</w:t>
      </w:r>
      <w:r w:rsidRPr="00F212E7">
        <w:rPr>
          <w:rFonts w:eastAsia="仿宋_GB2312" w:hint="eastAsia"/>
          <w:bCs/>
          <w:caps/>
          <w:sz w:val="32"/>
          <w:szCs w:val="32"/>
        </w:rPr>
        <w:t>9.74</w:t>
      </w:r>
      <w:r w:rsidRPr="00F212E7">
        <w:rPr>
          <w:rFonts w:eastAsia="仿宋_GB2312" w:hint="eastAsia"/>
          <w:bCs/>
          <w:caps/>
          <w:sz w:val="32"/>
          <w:szCs w:val="32"/>
        </w:rPr>
        <w:t>万户，市场从业人员数</w:t>
      </w:r>
      <w:r w:rsidRPr="00F212E7">
        <w:rPr>
          <w:rFonts w:eastAsia="仿宋_GB2312" w:hint="eastAsia"/>
          <w:bCs/>
          <w:caps/>
          <w:sz w:val="32"/>
          <w:szCs w:val="32"/>
        </w:rPr>
        <w:t>25.48</w:t>
      </w:r>
      <w:r w:rsidRPr="00F212E7">
        <w:rPr>
          <w:rFonts w:eastAsia="仿宋_GB2312" w:hint="eastAsia"/>
          <w:bCs/>
          <w:caps/>
          <w:sz w:val="32"/>
          <w:szCs w:val="32"/>
        </w:rPr>
        <w:t>万人，总成交额</w:t>
      </w:r>
      <w:r w:rsidR="009A4E38">
        <w:rPr>
          <w:rFonts w:eastAsia="仿宋_GB2312" w:hint="eastAsia"/>
          <w:bCs/>
          <w:caps/>
          <w:sz w:val="32"/>
          <w:szCs w:val="32"/>
        </w:rPr>
        <w:t>3606.9</w:t>
      </w:r>
      <w:r w:rsidRPr="00F212E7">
        <w:rPr>
          <w:rFonts w:eastAsia="仿宋_GB2312" w:hint="eastAsia"/>
          <w:bCs/>
          <w:caps/>
          <w:sz w:val="32"/>
          <w:szCs w:val="32"/>
        </w:rPr>
        <w:t>亿元，比上年增长</w:t>
      </w:r>
      <w:r w:rsidRPr="00F212E7">
        <w:rPr>
          <w:rFonts w:eastAsia="仿宋_GB2312" w:hint="eastAsia"/>
          <w:bCs/>
          <w:caps/>
          <w:sz w:val="32"/>
          <w:szCs w:val="32"/>
        </w:rPr>
        <w:t>14.5%</w:t>
      </w:r>
      <w:r w:rsidRPr="00F212E7">
        <w:rPr>
          <w:rFonts w:eastAsia="仿宋_GB2312" w:hint="eastAsia"/>
          <w:bCs/>
          <w:caps/>
          <w:sz w:val="32"/>
          <w:szCs w:val="32"/>
        </w:rPr>
        <w:t>。其中中国小商品城成交额</w:t>
      </w:r>
      <w:r w:rsidRPr="00F212E7">
        <w:rPr>
          <w:rFonts w:eastAsia="仿宋_GB2312" w:hint="eastAsia"/>
          <w:bCs/>
          <w:caps/>
          <w:sz w:val="32"/>
          <w:szCs w:val="32"/>
        </w:rPr>
        <w:t>3223.</w:t>
      </w:r>
      <w:r w:rsidR="009A4E38">
        <w:rPr>
          <w:rFonts w:eastAsia="仿宋_GB2312" w:hint="eastAsia"/>
          <w:bCs/>
          <w:caps/>
          <w:sz w:val="32"/>
          <w:szCs w:val="32"/>
        </w:rPr>
        <w:t>5</w:t>
      </w:r>
      <w:r w:rsidRPr="00F212E7">
        <w:rPr>
          <w:rFonts w:eastAsia="仿宋_GB2312" w:hint="eastAsia"/>
          <w:bCs/>
          <w:caps/>
          <w:sz w:val="32"/>
          <w:szCs w:val="32"/>
        </w:rPr>
        <w:t>亿元，增长</w:t>
      </w:r>
      <w:r w:rsidRPr="00F212E7">
        <w:rPr>
          <w:rFonts w:eastAsia="仿宋_GB2312" w:hint="eastAsia"/>
          <w:bCs/>
          <w:caps/>
          <w:sz w:val="32"/>
          <w:szCs w:val="32"/>
        </w:rPr>
        <w:t>15.2%</w:t>
      </w:r>
      <w:r w:rsidRPr="00F212E7">
        <w:rPr>
          <w:rFonts w:eastAsia="仿宋_GB2312" w:hint="eastAsia"/>
          <w:bCs/>
          <w:caps/>
          <w:sz w:val="32"/>
          <w:szCs w:val="32"/>
        </w:rPr>
        <w:t>。全年义乌城区公、铁、航客流量</w:t>
      </w:r>
      <w:r w:rsidRPr="00F212E7">
        <w:rPr>
          <w:rFonts w:eastAsia="仿宋_GB2312" w:hint="eastAsia"/>
          <w:bCs/>
          <w:caps/>
          <w:sz w:val="32"/>
          <w:szCs w:val="32"/>
        </w:rPr>
        <w:t>2336.86</w:t>
      </w:r>
      <w:r w:rsidRPr="00F212E7">
        <w:rPr>
          <w:rFonts w:eastAsia="仿宋_GB2312" w:hint="eastAsia"/>
          <w:bCs/>
          <w:caps/>
          <w:sz w:val="32"/>
          <w:szCs w:val="32"/>
        </w:rPr>
        <w:t>万人次，外商入境</w:t>
      </w:r>
      <w:r w:rsidRPr="00F212E7">
        <w:rPr>
          <w:rFonts w:eastAsia="仿宋_GB2312" w:hint="eastAsia"/>
          <w:bCs/>
          <w:caps/>
          <w:sz w:val="32"/>
          <w:szCs w:val="32"/>
        </w:rPr>
        <w:t>68.1</w:t>
      </w:r>
      <w:r w:rsidRPr="00F212E7">
        <w:rPr>
          <w:rFonts w:eastAsia="仿宋_GB2312" w:hint="eastAsia"/>
          <w:bCs/>
          <w:caps/>
          <w:sz w:val="32"/>
          <w:szCs w:val="32"/>
        </w:rPr>
        <w:t>万人次；市场周边银行网点共实现资金、现金总流量</w:t>
      </w:r>
      <w:r w:rsidRPr="00F212E7">
        <w:rPr>
          <w:rFonts w:eastAsia="仿宋_GB2312" w:hint="eastAsia"/>
          <w:bCs/>
          <w:caps/>
          <w:sz w:val="32"/>
          <w:szCs w:val="32"/>
        </w:rPr>
        <w:t>25144.96</w:t>
      </w:r>
      <w:r w:rsidRPr="00F212E7">
        <w:rPr>
          <w:rFonts w:eastAsia="仿宋_GB2312" w:hint="eastAsia"/>
          <w:bCs/>
          <w:caps/>
          <w:sz w:val="32"/>
          <w:szCs w:val="32"/>
        </w:rPr>
        <w:t>亿元。</w:t>
      </w:r>
      <w:bookmarkEnd w:id="42"/>
      <w:bookmarkEnd w:id="43"/>
    </w:p>
    <w:p w:rsidR="00F014A3" w:rsidRPr="00F212E7" w:rsidRDefault="00CD538F">
      <w:pPr>
        <w:spacing w:line="560" w:lineRule="exact"/>
        <w:ind w:firstLineChars="200" w:firstLine="460"/>
        <w:jc w:val="center"/>
        <w:outlineLvl w:val="0"/>
        <w:rPr>
          <w:rFonts w:eastAsia="仿宋_GB2312"/>
          <w:kern w:val="0"/>
          <w:sz w:val="23"/>
          <w:szCs w:val="23"/>
        </w:rPr>
      </w:pPr>
      <w:r w:rsidRPr="00F212E7">
        <w:rPr>
          <w:rFonts w:eastAsia="仿宋_GB2312"/>
          <w:sz w:val="23"/>
          <w:szCs w:val="23"/>
        </w:rPr>
        <w:t>图</w:t>
      </w:r>
      <w:r w:rsidRPr="00F212E7">
        <w:rPr>
          <w:rFonts w:eastAsia="仿宋_GB2312" w:hint="eastAsia"/>
          <w:sz w:val="23"/>
          <w:szCs w:val="23"/>
        </w:rPr>
        <w:t>5</w:t>
      </w:r>
      <w:r w:rsidRPr="00F212E7">
        <w:rPr>
          <w:rFonts w:eastAsia="仿宋_GB2312" w:hint="eastAsia"/>
          <w:kern w:val="0"/>
          <w:sz w:val="23"/>
          <w:szCs w:val="23"/>
        </w:rPr>
        <w:t xml:space="preserve">  </w:t>
      </w:r>
      <w:r w:rsidRPr="00F212E7">
        <w:rPr>
          <w:rFonts w:eastAsia="仿宋_GB2312"/>
          <w:kern w:val="0"/>
          <w:sz w:val="23"/>
          <w:szCs w:val="23"/>
        </w:rPr>
        <w:t>20</w:t>
      </w:r>
      <w:r w:rsidRPr="00F212E7">
        <w:rPr>
          <w:rFonts w:eastAsia="仿宋_GB2312" w:hint="eastAsia"/>
          <w:kern w:val="0"/>
          <w:sz w:val="23"/>
          <w:szCs w:val="23"/>
        </w:rPr>
        <w:t>2</w:t>
      </w:r>
      <w:r w:rsidR="00AC530A" w:rsidRPr="00F212E7">
        <w:rPr>
          <w:rFonts w:eastAsia="仿宋_GB2312" w:hint="eastAsia"/>
          <w:kern w:val="0"/>
          <w:sz w:val="23"/>
          <w:szCs w:val="23"/>
        </w:rPr>
        <w:t>1</w:t>
      </w:r>
      <w:r w:rsidRPr="00F212E7">
        <w:rPr>
          <w:rFonts w:eastAsia="仿宋_GB2312"/>
          <w:kern w:val="0"/>
          <w:sz w:val="23"/>
          <w:szCs w:val="23"/>
        </w:rPr>
        <w:t>-202</w:t>
      </w:r>
      <w:r w:rsidR="00AC530A" w:rsidRPr="00F212E7">
        <w:rPr>
          <w:rFonts w:eastAsia="仿宋_GB2312" w:hint="eastAsia"/>
          <w:kern w:val="0"/>
          <w:sz w:val="23"/>
          <w:szCs w:val="23"/>
        </w:rPr>
        <w:t>5</w:t>
      </w:r>
      <w:r w:rsidRPr="00F212E7">
        <w:rPr>
          <w:rFonts w:eastAsia="仿宋_GB2312"/>
          <w:kern w:val="0"/>
          <w:sz w:val="23"/>
          <w:szCs w:val="23"/>
        </w:rPr>
        <w:t>年集贸市场成交额与增长速度</w:t>
      </w:r>
    </w:p>
    <w:p w:rsidR="00F014A3" w:rsidRPr="00F212E7" w:rsidRDefault="001A0B62">
      <w:pPr>
        <w:ind w:firstLine="200"/>
        <w:jc w:val="center"/>
      </w:pPr>
      <w:r>
        <w:rPr>
          <w:noProof/>
        </w:rPr>
        <w:drawing>
          <wp:inline distT="0" distB="0" distL="0" distR="0" wp14:anchorId="4FFEC4AE" wp14:editId="64BA57C0">
            <wp:extent cx="4572000" cy="2733675"/>
            <wp:effectExtent l="0" t="0" r="19050" b="9525"/>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F014A3" w:rsidRDefault="00F014A3">
      <w:pPr>
        <w:ind w:firstLine="200"/>
        <w:jc w:val="center"/>
      </w:pPr>
    </w:p>
    <w:p w:rsidR="0039368A" w:rsidRDefault="0039368A">
      <w:pPr>
        <w:widowControl/>
        <w:jc w:val="left"/>
        <w:rPr>
          <w:rFonts w:eastAsia="仿宋_GB2312"/>
          <w:kern w:val="0"/>
          <w:sz w:val="23"/>
          <w:szCs w:val="23"/>
        </w:rPr>
      </w:pPr>
      <w:r>
        <w:rPr>
          <w:rFonts w:eastAsia="仿宋_GB2312"/>
          <w:sz w:val="23"/>
          <w:szCs w:val="23"/>
        </w:rPr>
        <w:br w:type="page"/>
      </w:r>
    </w:p>
    <w:p w:rsidR="00F014A3" w:rsidRPr="00F212E7" w:rsidRDefault="00CD538F">
      <w:pPr>
        <w:pStyle w:val="ad"/>
        <w:spacing w:before="0" w:beforeAutospacing="0" w:after="0" w:afterAutospacing="0"/>
        <w:ind w:firstLine="200"/>
        <w:jc w:val="center"/>
        <w:rPr>
          <w:rFonts w:ascii="Times New Roman" w:eastAsia="仿宋_GB2312" w:hAnsi="Times New Roman"/>
          <w:sz w:val="23"/>
          <w:szCs w:val="23"/>
        </w:rPr>
      </w:pPr>
      <w:r w:rsidRPr="00F212E7">
        <w:rPr>
          <w:rFonts w:ascii="Times New Roman" w:eastAsia="仿宋_GB2312" w:hAnsi="Times New Roman"/>
          <w:sz w:val="23"/>
          <w:szCs w:val="23"/>
        </w:rPr>
        <w:lastRenderedPageBreak/>
        <w:t>图</w:t>
      </w:r>
      <w:r w:rsidRPr="00F212E7">
        <w:rPr>
          <w:rFonts w:ascii="Times New Roman" w:eastAsia="仿宋_GB2312" w:hAnsi="Times New Roman" w:hint="eastAsia"/>
          <w:sz w:val="23"/>
          <w:szCs w:val="23"/>
        </w:rPr>
        <w:t xml:space="preserve">6  </w:t>
      </w:r>
      <w:r w:rsidRPr="00F212E7">
        <w:rPr>
          <w:rFonts w:ascii="Times New Roman" w:eastAsia="仿宋_GB2312" w:hAnsi="Times New Roman"/>
          <w:sz w:val="23"/>
          <w:szCs w:val="23"/>
        </w:rPr>
        <w:t>20</w:t>
      </w:r>
      <w:r w:rsidRPr="00F212E7">
        <w:rPr>
          <w:rFonts w:ascii="Times New Roman" w:eastAsia="仿宋_GB2312" w:hAnsi="Times New Roman" w:hint="eastAsia"/>
          <w:sz w:val="23"/>
          <w:szCs w:val="23"/>
        </w:rPr>
        <w:t>2</w:t>
      </w:r>
      <w:r w:rsidR="00AC530A" w:rsidRPr="00F212E7">
        <w:rPr>
          <w:rFonts w:ascii="Times New Roman" w:eastAsia="仿宋_GB2312" w:hAnsi="Times New Roman" w:hint="eastAsia"/>
          <w:sz w:val="23"/>
          <w:szCs w:val="23"/>
        </w:rPr>
        <w:t>1</w:t>
      </w:r>
      <w:r w:rsidRPr="00F212E7">
        <w:rPr>
          <w:rFonts w:ascii="Times New Roman" w:eastAsia="仿宋_GB2312" w:hAnsi="Times New Roman"/>
          <w:sz w:val="23"/>
          <w:szCs w:val="23"/>
        </w:rPr>
        <w:t>-202</w:t>
      </w:r>
      <w:r w:rsidR="00AC530A" w:rsidRPr="00F212E7">
        <w:rPr>
          <w:rFonts w:ascii="Times New Roman" w:eastAsia="仿宋_GB2312" w:hAnsi="Times New Roman" w:hint="eastAsia"/>
          <w:sz w:val="23"/>
          <w:szCs w:val="23"/>
        </w:rPr>
        <w:t>5</w:t>
      </w:r>
      <w:r w:rsidRPr="00F212E7">
        <w:rPr>
          <w:rFonts w:ascii="Times New Roman" w:eastAsia="仿宋_GB2312" w:hAnsi="Times New Roman"/>
          <w:sz w:val="23"/>
          <w:szCs w:val="23"/>
        </w:rPr>
        <w:t>年中国小商品城成交额与增长速度</w:t>
      </w:r>
    </w:p>
    <w:p w:rsidR="00F014A3" w:rsidRPr="00F212E7" w:rsidRDefault="001A0B62">
      <w:pPr>
        <w:pStyle w:val="ad"/>
        <w:spacing w:before="0" w:beforeAutospacing="0" w:after="0" w:afterAutospacing="0"/>
        <w:ind w:firstLine="200"/>
        <w:jc w:val="center"/>
        <w:rPr>
          <w:rFonts w:ascii="Times New Roman" w:eastAsia="仿宋_GB2312" w:hAnsi="Times New Roman"/>
          <w:sz w:val="23"/>
          <w:szCs w:val="23"/>
        </w:rPr>
      </w:pPr>
      <w:r>
        <w:rPr>
          <w:noProof/>
        </w:rPr>
        <w:drawing>
          <wp:inline distT="0" distB="0" distL="0" distR="0" wp14:anchorId="31EAE30F" wp14:editId="22EEB3D8">
            <wp:extent cx="4572000" cy="2743200"/>
            <wp:effectExtent l="0" t="0" r="19050" b="19050"/>
            <wp:docPr id="8"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1256CD" w:rsidRPr="00F212E7" w:rsidRDefault="001256CD" w:rsidP="001256CD">
      <w:pPr>
        <w:spacing w:line="560" w:lineRule="exact"/>
        <w:ind w:firstLineChars="200" w:firstLine="640"/>
        <w:outlineLvl w:val="0"/>
        <w:rPr>
          <w:rFonts w:eastAsia="仿宋_GB2312"/>
          <w:bCs/>
          <w:caps/>
          <w:sz w:val="32"/>
          <w:szCs w:val="32"/>
        </w:rPr>
      </w:pPr>
      <w:r w:rsidRPr="00F212E7">
        <w:rPr>
          <w:rFonts w:eastAsia="仿宋_GB2312" w:hint="eastAsia"/>
          <w:bCs/>
          <w:caps/>
          <w:sz w:val="32"/>
          <w:szCs w:val="32"/>
        </w:rPr>
        <w:t>全年</w:t>
      </w:r>
      <w:bookmarkStart w:id="44" w:name="OLE_LINK75"/>
      <w:r w:rsidRPr="00F212E7">
        <w:rPr>
          <w:rFonts w:eastAsia="仿宋_GB2312" w:hint="eastAsia"/>
          <w:bCs/>
          <w:caps/>
          <w:sz w:val="32"/>
          <w:szCs w:val="32"/>
        </w:rPr>
        <w:t>实现电子商务交易额</w:t>
      </w:r>
      <w:r w:rsidRPr="00F212E7">
        <w:rPr>
          <w:rFonts w:eastAsia="仿宋_GB2312" w:hint="eastAsia"/>
          <w:bCs/>
          <w:caps/>
          <w:sz w:val="32"/>
          <w:szCs w:val="32"/>
        </w:rPr>
        <w:t>5537.79</w:t>
      </w:r>
      <w:r w:rsidRPr="00F212E7">
        <w:rPr>
          <w:rFonts w:eastAsia="仿宋_GB2312" w:hint="eastAsia"/>
          <w:bCs/>
          <w:caps/>
          <w:sz w:val="32"/>
          <w:szCs w:val="32"/>
        </w:rPr>
        <w:t>亿元，比上年增长</w:t>
      </w:r>
      <w:r w:rsidRPr="00F212E7">
        <w:rPr>
          <w:rFonts w:eastAsia="仿宋_GB2312" w:hint="eastAsia"/>
          <w:bCs/>
          <w:caps/>
          <w:sz w:val="32"/>
          <w:szCs w:val="32"/>
        </w:rPr>
        <w:t>12.5%</w:t>
      </w:r>
      <w:r w:rsidRPr="00F212E7">
        <w:rPr>
          <w:rFonts w:eastAsia="仿宋_GB2312" w:hint="eastAsia"/>
          <w:bCs/>
          <w:caps/>
          <w:sz w:val="32"/>
          <w:szCs w:val="32"/>
        </w:rPr>
        <w:t>。其中电子商务内贸交易额</w:t>
      </w:r>
      <w:r w:rsidRPr="00F212E7">
        <w:rPr>
          <w:rFonts w:eastAsia="仿宋_GB2312" w:hint="eastAsia"/>
          <w:bCs/>
          <w:caps/>
          <w:sz w:val="32"/>
          <w:szCs w:val="32"/>
        </w:rPr>
        <w:t>3858.15</w:t>
      </w:r>
      <w:r w:rsidRPr="00F212E7">
        <w:rPr>
          <w:rFonts w:eastAsia="仿宋_GB2312" w:hint="eastAsia"/>
          <w:bCs/>
          <w:caps/>
          <w:sz w:val="32"/>
          <w:szCs w:val="32"/>
        </w:rPr>
        <w:t>亿元，增长</w:t>
      </w:r>
      <w:r w:rsidRPr="00F212E7">
        <w:rPr>
          <w:rFonts w:eastAsia="仿宋_GB2312" w:hint="eastAsia"/>
          <w:bCs/>
          <w:caps/>
          <w:sz w:val="32"/>
          <w:szCs w:val="32"/>
        </w:rPr>
        <w:t>9.5%</w:t>
      </w:r>
      <w:r w:rsidRPr="00F212E7">
        <w:rPr>
          <w:rFonts w:eastAsia="仿宋_GB2312" w:hint="eastAsia"/>
          <w:bCs/>
          <w:caps/>
          <w:sz w:val="32"/>
          <w:szCs w:val="32"/>
        </w:rPr>
        <w:t>；跨境电子商务交易额</w:t>
      </w:r>
      <w:r w:rsidRPr="00F212E7">
        <w:rPr>
          <w:rFonts w:eastAsia="仿宋_GB2312" w:hint="eastAsia"/>
          <w:bCs/>
          <w:caps/>
          <w:sz w:val="32"/>
          <w:szCs w:val="32"/>
        </w:rPr>
        <w:t>1679.64</w:t>
      </w:r>
      <w:r w:rsidRPr="00F212E7">
        <w:rPr>
          <w:rFonts w:eastAsia="仿宋_GB2312" w:hint="eastAsia"/>
          <w:bCs/>
          <w:caps/>
          <w:sz w:val="32"/>
          <w:szCs w:val="32"/>
        </w:rPr>
        <w:t>亿元，增长</w:t>
      </w:r>
      <w:r w:rsidRPr="00F212E7">
        <w:rPr>
          <w:rFonts w:eastAsia="仿宋_GB2312" w:hint="eastAsia"/>
          <w:bCs/>
          <w:caps/>
          <w:sz w:val="32"/>
          <w:szCs w:val="32"/>
        </w:rPr>
        <w:t>19.9%</w:t>
      </w:r>
      <w:r w:rsidRPr="00F212E7">
        <w:rPr>
          <w:rFonts w:eastAsia="仿宋_GB2312" w:hint="eastAsia"/>
          <w:bCs/>
          <w:caps/>
          <w:sz w:val="32"/>
          <w:szCs w:val="32"/>
        </w:rPr>
        <w:t>。全年跨境电商保税进口（</w:t>
      </w:r>
      <w:r w:rsidRPr="00F212E7">
        <w:rPr>
          <w:rFonts w:eastAsia="仿宋_GB2312" w:hint="eastAsia"/>
          <w:bCs/>
          <w:caps/>
          <w:sz w:val="32"/>
          <w:szCs w:val="32"/>
        </w:rPr>
        <w:t>1210</w:t>
      </w:r>
      <w:r w:rsidRPr="00F212E7">
        <w:rPr>
          <w:rFonts w:eastAsia="仿宋_GB2312" w:hint="eastAsia"/>
          <w:bCs/>
          <w:caps/>
          <w:sz w:val="32"/>
          <w:szCs w:val="32"/>
        </w:rPr>
        <w:t>）销售额</w:t>
      </w:r>
      <w:r w:rsidRPr="00F212E7">
        <w:rPr>
          <w:rFonts w:eastAsia="仿宋_GB2312" w:hint="eastAsia"/>
          <w:bCs/>
          <w:caps/>
          <w:sz w:val="32"/>
          <w:szCs w:val="32"/>
        </w:rPr>
        <w:t>273.68</w:t>
      </w:r>
      <w:r w:rsidRPr="00F212E7">
        <w:rPr>
          <w:rFonts w:eastAsia="仿宋_GB2312" w:hint="eastAsia"/>
          <w:bCs/>
          <w:caps/>
          <w:sz w:val="32"/>
          <w:szCs w:val="32"/>
        </w:rPr>
        <w:t>亿元，增长</w:t>
      </w:r>
      <w:r w:rsidRPr="00F212E7">
        <w:rPr>
          <w:rFonts w:eastAsia="仿宋_GB2312" w:hint="eastAsia"/>
          <w:bCs/>
          <w:caps/>
          <w:sz w:val="32"/>
          <w:szCs w:val="32"/>
        </w:rPr>
        <w:t>41.2%</w:t>
      </w:r>
      <w:r w:rsidRPr="00F212E7">
        <w:rPr>
          <w:rFonts w:eastAsia="仿宋_GB2312" w:hint="eastAsia"/>
          <w:bCs/>
          <w:caps/>
          <w:sz w:val="32"/>
          <w:szCs w:val="32"/>
        </w:rPr>
        <w:t>，跨境电商年进口清单量首次突破</w:t>
      </w:r>
      <w:r w:rsidRPr="00F212E7">
        <w:rPr>
          <w:rFonts w:eastAsia="仿宋_GB2312" w:hint="eastAsia"/>
          <w:bCs/>
          <w:caps/>
          <w:sz w:val="32"/>
          <w:szCs w:val="32"/>
        </w:rPr>
        <w:t>1</w:t>
      </w:r>
      <w:r w:rsidR="003E54FB">
        <w:rPr>
          <w:rFonts w:eastAsia="仿宋_GB2312" w:hint="eastAsia"/>
          <w:bCs/>
          <w:caps/>
          <w:sz w:val="32"/>
          <w:szCs w:val="32"/>
        </w:rPr>
        <w:t>亿单，</w:t>
      </w:r>
      <w:r w:rsidRPr="00F212E7">
        <w:rPr>
          <w:rFonts w:eastAsia="仿宋_GB2312" w:hint="eastAsia"/>
          <w:bCs/>
          <w:caps/>
          <w:sz w:val="32"/>
          <w:szCs w:val="32"/>
        </w:rPr>
        <w:t>成为全国跨境电商保税进口（</w:t>
      </w:r>
      <w:r w:rsidRPr="00F212E7">
        <w:rPr>
          <w:rFonts w:eastAsia="仿宋_GB2312" w:hint="eastAsia"/>
          <w:bCs/>
          <w:caps/>
          <w:sz w:val="32"/>
          <w:szCs w:val="32"/>
        </w:rPr>
        <w:t>1210</w:t>
      </w:r>
      <w:r w:rsidRPr="00F212E7">
        <w:rPr>
          <w:rFonts w:eastAsia="仿宋_GB2312" w:hint="eastAsia"/>
          <w:bCs/>
          <w:caps/>
          <w:sz w:val="32"/>
          <w:szCs w:val="32"/>
        </w:rPr>
        <w:t>）业务量最大的城市。</w:t>
      </w:r>
      <w:bookmarkEnd w:id="44"/>
    </w:p>
    <w:p w:rsidR="001256CD" w:rsidRPr="00F212E7" w:rsidRDefault="001256CD" w:rsidP="001256CD">
      <w:pPr>
        <w:spacing w:line="560" w:lineRule="exact"/>
        <w:ind w:firstLineChars="200" w:firstLine="640"/>
        <w:outlineLvl w:val="0"/>
        <w:rPr>
          <w:rFonts w:eastAsia="仿宋_GB2312"/>
          <w:bCs/>
          <w:caps/>
          <w:sz w:val="32"/>
          <w:szCs w:val="32"/>
        </w:rPr>
      </w:pPr>
      <w:bookmarkStart w:id="45" w:name="OLE_LINK76"/>
      <w:r w:rsidRPr="00F212E7">
        <w:rPr>
          <w:rFonts w:eastAsia="仿宋_GB2312" w:hint="eastAsia"/>
          <w:bCs/>
          <w:caps/>
          <w:sz w:val="32"/>
          <w:szCs w:val="32"/>
        </w:rPr>
        <w:t>全年举办义博会、文旅博会、电商博览会等商业性展会</w:t>
      </w:r>
      <w:r w:rsidRPr="00F212E7">
        <w:rPr>
          <w:rFonts w:eastAsia="仿宋_GB2312" w:hint="eastAsia"/>
          <w:bCs/>
          <w:caps/>
          <w:sz w:val="32"/>
          <w:szCs w:val="32"/>
        </w:rPr>
        <w:t xml:space="preserve"> 57</w:t>
      </w:r>
      <w:r w:rsidRPr="00F212E7">
        <w:rPr>
          <w:rFonts w:eastAsia="仿宋_GB2312" w:hint="eastAsia"/>
          <w:bCs/>
          <w:caps/>
          <w:sz w:val="32"/>
          <w:szCs w:val="32"/>
        </w:rPr>
        <w:t>个，同比增长</w:t>
      </w:r>
      <w:r w:rsidRPr="00F212E7">
        <w:rPr>
          <w:rFonts w:eastAsia="仿宋_GB2312" w:hint="eastAsia"/>
          <w:bCs/>
          <w:caps/>
          <w:sz w:val="32"/>
          <w:szCs w:val="32"/>
        </w:rPr>
        <w:t>3.6%</w:t>
      </w:r>
      <w:r w:rsidRPr="00F212E7">
        <w:rPr>
          <w:rFonts w:eastAsia="仿宋_GB2312" w:hint="eastAsia"/>
          <w:bCs/>
          <w:caps/>
          <w:sz w:val="32"/>
          <w:szCs w:val="32"/>
        </w:rPr>
        <w:t>，展览面积共</w:t>
      </w:r>
      <w:r w:rsidRPr="00F212E7">
        <w:rPr>
          <w:rFonts w:eastAsia="仿宋_GB2312" w:hint="eastAsia"/>
          <w:bCs/>
          <w:caps/>
          <w:sz w:val="32"/>
          <w:szCs w:val="32"/>
        </w:rPr>
        <w:t>131.74</w:t>
      </w:r>
      <w:r w:rsidRPr="00F212E7">
        <w:rPr>
          <w:rFonts w:eastAsia="仿宋_GB2312" w:hint="eastAsia"/>
          <w:bCs/>
          <w:caps/>
          <w:sz w:val="32"/>
          <w:szCs w:val="32"/>
        </w:rPr>
        <w:t>万平方米，同比增长</w:t>
      </w:r>
      <w:r w:rsidRPr="00F212E7">
        <w:rPr>
          <w:rFonts w:eastAsia="仿宋_GB2312" w:hint="eastAsia"/>
          <w:bCs/>
          <w:caps/>
          <w:sz w:val="32"/>
          <w:szCs w:val="32"/>
        </w:rPr>
        <w:t>17.0%</w:t>
      </w:r>
      <w:r w:rsidRPr="00F212E7">
        <w:rPr>
          <w:rFonts w:eastAsia="仿宋_GB2312" w:hint="eastAsia"/>
          <w:bCs/>
          <w:caps/>
          <w:sz w:val="32"/>
          <w:szCs w:val="32"/>
        </w:rPr>
        <w:t>，其中新办展览</w:t>
      </w:r>
      <w:r w:rsidRPr="00F212E7">
        <w:rPr>
          <w:rFonts w:eastAsia="仿宋_GB2312" w:hint="eastAsia"/>
          <w:bCs/>
          <w:caps/>
          <w:sz w:val="32"/>
          <w:szCs w:val="32"/>
        </w:rPr>
        <w:t>10</w:t>
      </w:r>
      <w:r w:rsidRPr="00F212E7">
        <w:rPr>
          <w:rFonts w:eastAsia="仿宋_GB2312" w:hint="eastAsia"/>
          <w:bCs/>
          <w:caps/>
          <w:sz w:val="32"/>
          <w:szCs w:val="32"/>
        </w:rPr>
        <w:t>个。新增中国义乌文具礼品展览会、中国义乌喜庆用品博览会两个展会获全球展览业协会（</w:t>
      </w:r>
      <w:r w:rsidRPr="00F212E7">
        <w:rPr>
          <w:rFonts w:eastAsia="仿宋_GB2312" w:hint="eastAsia"/>
          <w:bCs/>
          <w:caps/>
          <w:sz w:val="32"/>
          <w:szCs w:val="32"/>
        </w:rPr>
        <w:t>UFI</w:t>
      </w:r>
      <w:r w:rsidRPr="00F212E7">
        <w:rPr>
          <w:rFonts w:eastAsia="仿宋_GB2312" w:hint="eastAsia"/>
          <w:bCs/>
          <w:caps/>
          <w:sz w:val="32"/>
          <w:szCs w:val="32"/>
        </w:rPr>
        <w:t>）认证。获评“中国最具竞争力会展城市”，会展综合实力居全国县域城市第一。</w:t>
      </w:r>
      <w:bookmarkEnd w:id="45"/>
    </w:p>
    <w:p w:rsidR="00F014A3" w:rsidRPr="00F212E7" w:rsidRDefault="00CD538F" w:rsidP="00FB4CFD">
      <w:pPr>
        <w:spacing w:line="560" w:lineRule="exact"/>
        <w:ind w:firstLineChars="200" w:firstLine="723"/>
        <w:outlineLvl w:val="0"/>
        <w:rPr>
          <w:rFonts w:eastAsia="仿宋_GB2312"/>
          <w:b/>
          <w:sz w:val="36"/>
        </w:rPr>
      </w:pPr>
      <w:r w:rsidRPr="00F212E7">
        <w:rPr>
          <w:rFonts w:eastAsia="仿宋_GB2312"/>
          <w:b/>
          <w:sz w:val="36"/>
        </w:rPr>
        <w:t>六、对外经济</w:t>
      </w:r>
    </w:p>
    <w:p w:rsidR="00844F67" w:rsidRPr="00F212E7" w:rsidRDefault="00844F67" w:rsidP="00844F67">
      <w:pPr>
        <w:spacing w:line="560" w:lineRule="exact"/>
        <w:ind w:firstLineChars="200" w:firstLine="640"/>
        <w:outlineLvl w:val="0"/>
        <w:rPr>
          <w:rFonts w:eastAsia="仿宋_GB2312"/>
          <w:bCs/>
          <w:caps/>
          <w:sz w:val="32"/>
          <w:szCs w:val="32"/>
        </w:rPr>
      </w:pPr>
      <w:r w:rsidRPr="00F212E7">
        <w:rPr>
          <w:rFonts w:eastAsia="仿宋_GB2312" w:hint="eastAsia"/>
          <w:bCs/>
          <w:caps/>
          <w:sz w:val="32"/>
          <w:szCs w:val="32"/>
        </w:rPr>
        <w:t>全年</w:t>
      </w:r>
      <w:bookmarkStart w:id="46" w:name="OLE_LINK88"/>
      <w:bookmarkStart w:id="47" w:name="OLE_LINK89"/>
      <w:r w:rsidRPr="00F212E7">
        <w:rPr>
          <w:rFonts w:eastAsia="仿宋_GB2312" w:hint="eastAsia"/>
          <w:bCs/>
          <w:caps/>
          <w:sz w:val="32"/>
          <w:szCs w:val="32"/>
        </w:rPr>
        <w:t>实现进出口总额</w:t>
      </w:r>
      <w:bookmarkStart w:id="48" w:name="OLE_LINK94"/>
      <w:bookmarkStart w:id="49" w:name="OLE_LINK95"/>
      <w:r w:rsidRPr="00F212E7">
        <w:rPr>
          <w:rFonts w:eastAsia="仿宋_GB2312" w:hint="eastAsia"/>
          <w:bCs/>
          <w:caps/>
          <w:sz w:val="32"/>
          <w:szCs w:val="32"/>
        </w:rPr>
        <w:t>8364.87</w:t>
      </w:r>
      <w:bookmarkEnd w:id="48"/>
      <w:bookmarkEnd w:id="49"/>
      <w:r w:rsidRPr="00F212E7">
        <w:rPr>
          <w:rFonts w:eastAsia="仿宋_GB2312" w:hint="eastAsia"/>
          <w:bCs/>
          <w:caps/>
          <w:sz w:val="32"/>
          <w:szCs w:val="32"/>
        </w:rPr>
        <w:t>亿元，比上年增长</w:t>
      </w:r>
      <w:r w:rsidRPr="00F212E7">
        <w:rPr>
          <w:rFonts w:eastAsia="仿宋_GB2312" w:hint="eastAsia"/>
          <w:bCs/>
          <w:caps/>
          <w:sz w:val="32"/>
          <w:szCs w:val="32"/>
        </w:rPr>
        <w:t>25.1%</w:t>
      </w:r>
      <w:r w:rsidRPr="00F212E7">
        <w:rPr>
          <w:rFonts w:eastAsia="仿宋_GB2312" w:hint="eastAsia"/>
          <w:bCs/>
          <w:caps/>
          <w:sz w:val="32"/>
          <w:szCs w:val="32"/>
        </w:rPr>
        <w:t>。全市实现出口额</w:t>
      </w:r>
      <w:bookmarkStart w:id="50" w:name="OLE_LINK18"/>
      <w:r w:rsidRPr="00F212E7">
        <w:rPr>
          <w:rFonts w:eastAsia="仿宋_GB2312" w:hint="eastAsia"/>
          <w:bCs/>
          <w:caps/>
          <w:sz w:val="32"/>
          <w:szCs w:val="32"/>
        </w:rPr>
        <w:t>7306.88</w:t>
      </w:r>
      <w:bookmarkEnd w:id="50"/>
      <w:r w:rsidRPr="00F212E7">
        <w:rPr>
          <w:rFonts w:eastAsia="仿宋_GB2312" w:hint="eastAsia"/>
          <w:bCs/>
          <w:caps/>
          <w:sz w:val="32"/>
          <w:szCs w:val="32"/>
        </w:rPr>
        <w:t>亿元，增长</w:t>
      </w:r>
      <w:r w:rsidRPr="00F212E7">
        <w:rPr>
          <w:rFonts w:eastAsia="仿宋_GB2312" w:hint="eastAsia"/>
          <w:bCs/>
          <w:caps/>
          <w:sz w:val="32"/>
          <w:szCs w:val="32"/>
        </w:rPr>
        <w:t>24.1%</w:t>
      </w:r>
      <w:r w:rsidRPr="00F212E7">
        <w:rPr>
          <w:rFonts w:eastAsia="仿宋_GB2312" w:hint="eastAsia"/>
          <w:bCs/>
          <w:caps/>
          <w:sz w:val="32"/>
          <w:szCs w:val="32"/>
        </w:rPr>
        <w:t>；其中一般贸易出口</w:t>
      </w:r>
      <w:r w:rsidRPr="00F212E7">
        <w:rPr>
          <w:rFonts w:eastAsia="仿宋_GB2312" w:hint="eastAsia"/>
          <w:bCs/>
          <w:caps/>
          <w:sz w:val="32"/>
          <w:szCs w:val="32"/>
        </w:rPr>
        <w:t>1305.46</w:t>
      </w:r>
      <w:r w:rsidRPr="00F212E7">
        <w:rPr>
          <w:rFonts w:eastAsia="仿宋_GB2312" w:hint="eastAsia"/>
          <w:bCs/>
          <w:caps/>
          <w:sz w:val="32"/>
          <w:szCs w:val="32"/>
        </w:rPr>
        <w:t>亿元，增长</w:t>
      </w:r>
      <w:r w:rsidRPr="00F212E7">
        <w:rPr>
          <w:rFonts w:eastAsia="仿宋_GB2312" w:hint="eastAsia"/>
          <w:bCs/>
          <w:caps/>
          <w:sz w:val="32"/>
          <w:szCs w:val="32"/>
        </w:rPr>
        <w:t>12.6%</w:t>
      </w:r>
      <w:r w:rsidRPr="00F212E7">
        <w:rPr>
          <w:rFonts w:eastAsia="仿宋_GB2312" w:hint="eastAsia"/>
          <w:bCs/>
          <w:caps/>
          <w:sz w:val="32"/>
          <w:szCs w:val="32"/>
        </w:rPr>
        <w:t>，占出口额的比重为</w:t>
      </w:r>
      <w:r w:rsidRPr="00F212E7">
        <w:rPr>
          <w:rFonts w:eastAsia="仿宋_GB2312" w:hint="eastAsia"/>
          <w:bCs/>
          <w:caps/>
          <w:sz w:val="32"/>
          <w:szCs w:val="32"/>
        </w:rPr>
        <w:t>17.9%</w:t>
      </w:r>
      <w:r w:rsidRPr="00F212E7">
        <w:rPr>
          <w:rFonts w:eastAsia="仿宋_GB2312" w:hint="eastAsia"/>
          <w:bCs/>
          <w:caps/>
          <w:sz w:val="32"/>
          <w:szCs w:val="32"/>
        </w:rPr>
        <w:t>；</w:t>
      </w:r>
      <w:r w:rsidRPr="00F212E7">
        <w:rPr>
          <w:rFonts w:eastAsia="仿宋_GB2312" w:hint="eastAsia"/>
          <w:bCs/>
          <w:caps/>
          <w:sz w:val="32"/>
          <w:szCs w:val="32"/>
        </w:rPr>
        <w:lastRenderedPageBreak/>
        <w:t>市场采购贸易出口</w:t>
      </w:r>
      <w:r w:rsidRPr="00F212E7">
        <w:rPr>
          <w:rFonts w:eastAsia="仿宋_GB2312" w:hint="eastAsia"/>
          <w:bCs/>
          <w:caps/>
          <w:sz w:val="32"/>
          <w:szCs w:val="32"/>
        </w:rPr>
        <w:t>5991.75</w:t>
      </w:r>
      <w:r w:rsidRPr="00F212E7">
        <w:rPr>
          <w:rFonts w:eastAsia="仿宋_GB2312" w:hint="eastAsia"/>
          <w:bCs/>
          <w:caps/>
          <w:sz w:val="32"/>
          <w:szCs w:val="32"/>
        </w:rPr>
        <w:t>亿元，增长</w:t>
      </w:r>
      <w:r w:rsidRPr="00F212E7">
        <w:rPr>
          <w:rFonts w:eastAsia="仿宋_GB2312" w:hint="eastAsia"/>
          <w:bCs/>
          <w:caps/>
          <w:sz w:val="32"/>
          <w:szCs w:val="32"/>
        </w:rPr>
        <w:t>27.0%</w:t>
      </w:r>
      <w:r w:rsidRPr="00F212E7">
        <w:rPr>
          <w:rFonts w:eastAsia="仿宋_GB2312" w:hint="eastAsia"/>
          <w:bCs/>
          <w:caps/>
          <w:sz w:val="32"/>
          <w:szCs w:val="32"/>
        </w:rPr>
        <w:t>，占全市出口额的比重为</w:t>
      </w:r>
      <w:r w:rsidRPr="00F212E7">
        <w:rPr>
          <w:rFonts w:eastAsia="仿宋_GB2312" w:hint="eastAsia"/>
          <w:bCs/>
          <w:caps/>
          <w:sz w:val="32"/>
          <w:szCs w:val="32"/>
        </w:rPr>
        <w:t>82.0%</w:t>
      </w:r>
      <w:r w:rsidRPr="00F212E7">
        <w:rPr>
          <w:rFonts w:eastAsia="仿宋_GB2312" w:hint="eastAsia"/>
          <w:bCs/>
          <w:caps/>
          <w:sz w:val="32"/>
          <w:szCs w:val="32"/>
        </w:rPr>
        <w:t>。全市实现进口额</w:t>
      </w:r>
      <w:r w:rsidRPr="00F212E7">
        <w:rPr>
          <w:rFonts w:eastAsia="仿宋_GB2312" w:hint="eastAsia"/>
          <w:bCs/>
          <w:caps/>
          <w:sz w:val="32"/>
          <w:szCs w:val="32"/>
        </w:rPr>
        <w:t>1057.99</w:t>
      </w:r>
      <w:r w:rsidRPr="00F212E7">
        <w:rPr>
          <w:rFonts w:eastAsia="仿宋_GB2312" w:hint="eastAsia"/>
          <w:bCs/>
          <w:caps/>
          <w:sz w:val="32"/>
          <w:szCs w:val="32"/>
        </w:rPr>
        <w:t>亿元，增长</w:t>
      </w:r>
      <w:r w:rsidRPr="00F212E7">
        <w:rPr>
          <w:rFonts w:eastAsia="仿宋_GB2312" w:hint="eastAsia"/>
          <w:bCs/>
          <w:caps/>
          <w:sz w:val="32"/>
          <w:szCs w:val="32"/>
        </w:rPr>
        <w:t>32.3%</w:t>
      </w:r>
      <w:r w:rsidRPr="00F212E7">
        <w:rPr>
          <w:rFonts w:eastAsia="仿宋_GB2312" w:hint="eastAsia"/>
          <w:bCs/>
          <w:caps/>
          <w:sz w:val="32"/>
          <w:szCs w:val="32"/>
        </w:rPr>
        <w:t>；其中日用消费品进口</w:t>
      </w:r>
      <w:r w:rsidRPr="00F212E7">
        <w:rPr>
          <w:rFonts w:eastAsia="仿宋_GB2312" w:hint="eastAsia"/>
          <w:bCs/>
          <w:caps/>
          <w:sz w:val="32"/>
          <w:szCs w:val="32"/>
        </w:rPr>
        <w:t>339.9</w:t>
      </w:r>
      <w:r w:rsidRPr="00F212E7">
        <w:rPr>
          <w:rFonts w:eastAsia="仿宋_GB2312" w:hint="eastAsia"/>
          <w:bCs/>
          <w:caps/>
          <w:sz w:val="32"/>
          <w:szCs w:val="32"/>
        </w:rPr>
        <w:t>亿元，增长</w:t>
      </w:r>
      <w:r w:rsidRPr="00F212E7">
        <w:rPr>
          <w:rFonts w:eastAsia="仿宋_GB2312" w:hint="eastAsia"/>
          <w:bCs/>
          <w:caps/>
          <w:sz w:val="32"/>
          <w:szCs w:val="32"/>
        </w:rPr>
        <w:t>40.7%</w:t>
      </w:r>
      <w:r w:rsidRPr="00F212E7">
        <w:rPr>
          <w:rFonts w:eastAsia="仿宋_GB2312" w:hint="eastAsia"/>
          <w:bCs/>
          <w:caps/>
          <w:sz w:val="32"/>
          <w:szCs w:val="32"/>
        </w:rPr>
        <w:t>，进口美容化妆品及洗护用品</w:t>
      </w:r>
      <w:r w:rsidRPr="00F212E7">
        <w:rPr>
          <w:rFonts w:eastAsia="仿宋_GB2312" w:hint="eastAsia"/>
          <w:bCs/>
          <w:caps/>
          <w:sz w:val="32"/>
          <w:szCs w:val="32"/>
        </w:rPr>
        <w:t>88.7</w:t>
      </w:r>
      <w:r w:rsidRPr="00F212E7">
        <w:rPr>
          <w:rFonts w:eastAsia="仿宋_GB2312" w:hint="eastAsia"/>
          <w:bCs/>
          <w:caps/>
          <w:sz w:val="32"/>
          <w:szCs w:val="32"/>
        </w:rPr>
        <w:t>亿元，增长</w:t>
      </w:r>
      <w:r w:rsidRPr="00F212E7">
        <w:rPr>
          <w:rFonts w:eastAsia="仿宋_GB2312" w:hint="eastAsia"/>
          <w:bCs/>
          <w:caps/>
          <w:sz w:val="32"/>
          <w:szCs w:val="32"/>
        </w:rPr>
        <w:t>0.9%</w:t>
      </w:r>
      <w:r w:rsidRPr="00F212E7">
        <w:rPr>
          <w:rFonts w:eastAsia="仿宋_GB2312" w:hint="eastAsia"/>
          <w:bCs/>
          <w:caps/>
          <w:sz w:val="32"/>
          <w:szCs w:val="32"/>
        </w:rPr>
        <w:t>。</w:t>
      </w:r>
      <w:bookmarkEnd w:id="46"/>
      <w:bookmarkEnd w:id="47"/>
    </w:p>
    <w:p w:rsidR="00844F67" w:rsidRPr="00F212E7" w:rsidRDefault="00844F67" w:rsidP="00844F67">
      <w:pPr>
        <w:spacing w:line="560" w:lineRule="exact"/>
        <w:ind w:firstLineChars="200" w:firstLine="640"/>
        <w:outlineLvl w:val="0"/>
        <w:rPr>
          <w:rFonts w:eastAsia="仿宋_GB2312"/>
          <w:bCs/>
          <w:caps/>
          <w:sz w:val="32"/>
          <w:szCs w:val="32"/>
        </w:rPr>
      </w:pPr>
      <w:bookmarkStart w:id="51" w:name="OLE_LINK90"/>
      <w:bookmarkStart w:id="52" w:name="OLE_LINK91"/>
      <w:r w:rsidRPr="00F212E7">
        <w:rPr>
          <w:rFonts w:eastAsia="仿宋_GB2312" w:hint="eastAsia"/>
          <w:bCs/>
          <w:caps/>
          <w:sz w:val="32"/>
          <w:szCs w:val="32"/>
        </w:rPr>
        <w:t>全年对非洲进出口总额</w:t>
      </w:r>
      <w:r w:rsidRPr="00F212E7">
        <w:rPr>
          <w:rFonts w:eastAsia="仿宋_GB2312" w:hint="eastAsia"/>
          <w:bCs/>
          <w:caps/>
          <w:sz w:val="32"/>
          <w:szCs w:val="32"/>
        </w:rPr>
        <w:t>1506.5</w:t>
      </w:r>
      <w:r w:rsidRPr="00F212E7">
        <w:rPr>
          <w:rFonts w:eastAsia="仿宋_GB2312" w:hint="eastAsia"/>
          <w:bCs/>
          <w:caps/>
          <w:sz w:val="32"/>
          <w:szCs w:val="32"/>
        </w:rPr>
        <w:t>亿元，比上年增长</w:t>
      </w:r>
      <w:r w:rsidRPr="00F212E7">
        <w:rPr>
          <w:rFonts w:eastAsia="仿宋_GB2312" w:hint="eastAsia"/>
          <w:bCs/>
          <w:caps/>
          <w:sz w:val="32"/>
          <w:szCs w:val="32"/>
        </w:rPr>
        <w:t>23.4%</w:t>
      </w:r>
      <w:r w:rsidRPr="00F212E7">
        <w:rPr>
          <w:rFonts w:eastAsia="仿宋_GB2312" w:hint="eastAsia"/>
          <w:bCs/>
          <w:caps/>
          <w:sz w:val="32"/>
          <w:szCs w:val="32"/>
        </w:rPr>
        <w:t>；对东盟进出口总额</w:t>
      </w:r>
      <w:r w:rsidRPr="00F212E7">
        <w:rPr>
          <w:rFonts w:eastAsia="仿宋_GB2312" w:hint="eastAsia"/>
          <w:bCs/>
          <w:caps/>
          <w:sz w:val="32"/>
          <w:szCs w:val="32"/>
        </w:rPr>
        <w:t>939.5</w:t>
      </w:r>
      <w:r w:rsidRPr="00F212E7">
        <w:rPr>
          <w:rFonts w:eastAsia="仿宋_GB2312" w:hint="eastAsia"/>
          <w:bCs/>
          <w:caps/>
          <w:sz w:val="32"/>
          <w:szCs w:val="32"/>
        </w:rPr>
        <w:t>亿元，增长</w:t>
      </w:r>
      <w:r w:rsidRPr="00F212E7">
        <w:rPr>
          <w:rFonts w:eastAsia="仿宋_GB2312" w:hint="eastAsia"/>
          <w:bCs/>
          <w:caps/>
          <w:sz w:val="32"/>
          <w:szCs w:val="32"/>
        </w:rPr>
        <w:t>46.7%</w:t>
      </w:r>
      <w:r w:rsidRPr="00F212E7">
        <w:rPr>
          <w:rFonts w:eastAsia="仿宋_GB2312" w:hint="eastAsia"/>
          <w:bCs/>
          <w:caps/>
          <w:sz w:val="32"/>
          <w:szCs w:val="32"/>
        </w:rPr>
        <w:t>；对欧盟进出口总额</w:t>
      </w:r>
      <w:r w:rsidRPr="00F212E7">
        <w:rPr>
          <w:rFonts w:eastAsia="仿宋_GB2312" w:hint="eastAsia"/>
          <w:bCs/>
          <w:caps/>
          <w:sz w:val="32"/>
          <w:szCs w:val="32"/>
        </w:rPr>
        <w:t>888.4</w:t>
      </w:r>
      <w:r w:rsidRPr="00F212E7">
        <w:rPr>
          <w:rFonts w:eastAsia="仿宋_GB2312" w:hint="eastAsia"/>
          <w:bCs/>
          <w:caps/>
          <w:sz w:val="32"/>
          <w:szCs w:val="32"/>
        </w:rPr>
        <w:t>亿元，增长</w:t>
      </w:r>
      <w:r w:rsidRPr="00F212E7">
        <w:rPr>
          <w:rFonts w:eastAsia="仿宋_GB2312" w:hint="eastAsia"/>
          <w:bCs/>
          <w:caps/>
          <w:sz w:val="32"/>
          <w:szCs w:val="32"/>
        </w:rPr>
        <w:t>37.8%</w:t>
      </w:r>
      <w:r w:rsidRPr="00F212E7">
        <w:rPr>
          <w:rFonts w:eastAsia="仿宋_GB2312" w:hint="eastAsia"/>
          <w:bCs/>
          <w:caps/>
          <w:sz w:val="32"/>
          <w:szCs w:val="32"/>
        </w:rPr>
        <w:t>。对美国、印度、巴西、伊拉克、沙特阿拉伯分别进出口</w:t>
      </w:r>
      <w:r w:rsidRPr="00F212E7">
        <w:rPr>
          <w:rFonts w:eastAsia="仿宋_GB2312" w:hint="eastAsia"/>
          <w:bCs/>
          <w:caps/>
          <w:sz w:val="32"/>
          <w:szCs w:val="32"/>
        </w:rPr>
        <w:t>1103.7</w:t>
      </w:r>
      <w:r w:rsidRPr="00F212E7">
        <w:rPr>
          <w:rFonts w:eastAsia="仿宋_GB2312" w:hint="eastAsia"/>
          <w:bCs/>
          <w:caps/>
          <w:sz w:val="32"/>
          <w:szCs w:val="32"/>
        </w:rPr>
        <w:t>亿元、</w:t>
      </w:r>
      <w:r w:rsidRPr="00F212E7">
        <w:rPr>
          <w:rFonts w:eastAsia="仿宋_GB2312" w:hint="eastAsia"/>
          <w:bCs/>
          <w:caps/>
          <w:sz w:val="32"/>
          <w:szCs w:val="32"/>
        </w:rPr>
        <w:t>311.5</w:t>
      </w:r>
      <w:r w:rsidRPr="00F212E7">
        <w:rPr>
          <w:rFonts w:eastAsia="仿宋_GB2312" w:hint="eastAsia"/>
          <w:bCs/>
          <w:caps/>
          <w:sz w:val="32"/>
          <w:szCs w:val="32"/>
        </w:rPr>
        <w:t>亿元、</w:t>
      </w:r>
      <w:r w:rsidRPr="00F212E7">
        <w:rPr>
          <w:rFonts w:eastAsia="仿宋_GB2312" w:hint="eastAsia"/>
          <w:bCs/>
          <w:caps/>
          <w:sz w:val="32"/>
          <w:szCs w:val="32"/>
        </w:rPr>
        <w:t>308.6</w:t>
      </w:r>
      <w:r w:rsidRPr="00F212E7">
        <w:rPr>
          <w:rFonts w:eastAsia="仿宋_GB2312" w:hint="eastAsia"/>
          <w:bCs/>
          <w:caps/>
          <w:sz w:val="32"/>
          <w:szCs w:val="32"/>
        </w:rPr>
        <w:t>亿元、</w:t>
      </w:r>
      <w:r w:rsidRPr="00F212E7">
        <w:rPr>
          <w:rFonts w:eastAsia="仿宋_GB2312" w:hint="eastAsia"/>
          <w:bCs/>
          <w:caps/>
          <w:sz w:val="32"/>
          <w:szCs w:val="32"/>
        </w:rPr>
        <w:t>210.8</w:t>
      </w:r>
      <w:r w:rsidRPr="00F212E7">
        <w:rPr>
          <w:rFonts w:eastAsia="仿宋_GB2312" w:hint="eastAsia"/>
          <w:bCs/>
          <w:caps/>
          <w:sz w:val="32"/>
          <w:szCs w:val="32"/>
        </w:rPr>
        <w:t>亿元、</w:t>
      </w:r>
      <w:r w:rsidRPr="00F212E7">
        <w:rPr>
          <w:rFonts w:eastAsia="仿宋_GB2312" w:hint="eastAsia"/>
          <w:bCs/>
          <w:caps/>
          <w:sz w:val="32"/>
          <w:szCs w:val="32"/>
        </w:rPr>
        <w:t>207.6</w:t>
      </w:r>
      <w:r w:rsidRPr="00F212E7">
        <w:rPr>
          <w:rFonts w:eastAsia="仿宋_GB2312" w:hint="eastAsia"/>
          <w:bCs/>
          <w:caps/>
          <w:sz w:val="32"/>
          <w:szCs w:val="32"/>
        </w:rPr>
        <w:t>亿元，分别增长</w:t>
      </w:r>
      <w:r w:rsidRPr="00F212E7">
        <w:rPr>
          <w:rFonts w:eastAsia="仿宋_GB2312" w:hint="eastAsia"/>
          <w:bCs/>
          <w:caps/>
          <w:sz w:val="32"/>
          <w:szCs w:val="32"/>
        </w:rPr>
        <w:t>21.2%</w:t>
      </w:r>
      <w:r w:rsidRPr="00F212E7">
        <w:rPr>
          <w:rFonts w:eastAsia="仿宋_GB2312" w:hint="eastAsia"/>
          <w:bCs/>
          <w:caps/>
          <w:sz w:val="32"/>
          <w:szCs w:val="32"/>
        </w:rPr>
        <w:t>、</w:t>
      </w:r>
      <w:r w:rsidRPr="00F212E7">
        <w:rPr>
          <w:rFonts w:eastAsia="仿宋_GB2312" w:hint="eastAsia"/>
          <w:bCs/>
          <w:caps/>
          <w:sz w:val="32"/>
          <w:szCs w:val="32"/>
        </w:rPr>
        <w:t>4.2%</w:t>
      </w:r>
      <w:r w:rsidRPr="00F212E7">
        <w:rPr>
          <w:rFonts w:eastAsia="仿宋_GB2312" w:hint="eastAsia"/>
          <w:bCs/>
          <w:caps/>
          <w:sz w:val="32"/>
          <w:szCs w:val="32"/>
        </w:rPr>
        <w:t>、</w:t>
      </w:r>
      <w:r w:rsidRPr="00F212E7">
        <w:rPr>
          <w:rFonts w:eastAsia="仿宋_GB2312" w:hint="eastAsia"/>
          <w:bCs/>
          <w:caps/>
          <w:sz w:val="32"/>
          <w:szCs w:val="32"/>
        </w:rPr>
        <w:t>40.9%</w:t>
      </w:r>
      <w:r w:rsidRPr="00F212E7">
        <w:rPr>
          <w:rFonts w:eastAsia="仿宋_GB2312" w:hint="eastAsia"/>
          <w:bCs/>
          <w:caps/>
          <w:sz w:val="32"/>
          <w:szCs w:val="32"/>
        </w:rPr>
        <w:t>、</w:t>
      </w:r>
      <w:r w:rsidRPr="00F212E7">
        <w:rPr>
          <w:rFonts w:eastAsia="仿宋_GB2312" w:hint="eastAsia"/>
          <w:bCs/>
          <w:caps/>
          <w:sz w:val="32"/>
          <w:szCs w:val="32"/>
        </w:rPr>
        <w:t>17.8%</w:t>
      </w:r>
      <w:r w:rsidRPr="00F212E7">
        <w:rPr>
          <w:rFonts w:eastAsia="仿宋_GB2312" w:hint="eastAsia"/>
          <w:bCs/>
          <w:caps/>
          <w:sz w:val="32"/>
          <w:szCs w:val="32"/>
        </w:rPr>
        <w:t>、</w:t>
      </w:r>
      <w:r w:rsidRPr="00F212E7">
        <w:rPr>
          <w:rFonts w:eastAsia="仿宋_GB2312" w:hint="eastAsia"/>
          <w:bCs/>
          <w:caps/>
          <w:sz w:val="32"/>
          <w:szCs w:val="32"/>
        </w:rPr>
        <w:t>26.1%</w:t>
      </w:r>
      <w:r w:rsidRPr="00F212E7">
        <w:rPr>
          <w:rFonts w:eastAsia="仿宋_GB2312" w:hint="eastAsia"/>
          <w:bCs/>
          <w:caps/>
          <w:sz w:val="32"/>
          <w:szCs w:val="32"/>
        </w:rPr>
        <w:t>。对“一带一路”沿线国家合计进出口</w:t>
      </w:r>
      <w:r w:rsidRPr="00F212E7">
        <w:rPr>
          <w:rFonts w:eastAsia="仿宋_GB2312" w:hint="eastAsia"/>
          <w:bCs/>
          <w:caps/>
          <w:sz w:val="32"/>
          <w:szCs w:val="32"/>
        </w:rPr>
        <w:t>3309.9</w:t>
      </w:r>
      <w:r w:rsidRPr="00F212E7">
        <w:rPr>
          <w:rFonts w:eastAsia="仿宋_GB2312" w:hint="eastAsia"/>
          <w:bCs/>
          <w:caps/>
          <w:sz w:val="32"/>
          <w:szCs w:val="32"/>
        </w:rPr>
        <w:t>亿元，增长</w:t>
      </w:r>
      <w:r w:rsidRPr="00F212E7">
        <w:rPr>
          <w:rFonts w:eastAsia="仿宋_GB2312" w:hint="eastAsia"/>
          <w:bCs/>
          <w:caps/>
          <w:sz w:val="32"/>
          <w:szCs w:val="32"/>
        </w:rPr>
        <w:t>27.5%</w:t>
      </w:r>
      <w:r w:rsidRPr="00F212E7">
        <w:rPr>
          <w:rFonts w:eastAsia="仿宋_GB2312" w:hint="eastAsia"/>
          <w:bCs/>
          <w:caps/>
          <w:sz w:val="32"/>
          <w:szCs w:val="32"/>
        </w:rPr>
        <w:t>。</w:t>
      </w:r>
      <w:bookmarkEnd w:id="51"/>
      <w:bookmarkEnd w:id="52"/>
    </w:p>
    <w:p w:rsidR="00F014A3" w:rsidRPr="00F212E7" w:rsidRDefault="00CD538F">
      <w:pPr>
        <w:ind w:firstLine="200"/>
        <w:jc w:val="center"/>
        <w:rPr>
          <w:rFonts w:eastAsia="仿宋_GB2312"/>
          <w:kern w:val="0"/>
          <w:sz w:val="23"/>
          <w:szCs w:val="23"/>
        </w:rPr>
      </w:pPr>
      <w:r w:rsidRPr="00F212E7">
        <w:rPr>
          <w:rFonts w:eastAsia="仿宋_GB2312"/>
          <w:kern w:val="0"/>
          <w:sz w:val="23"/>
          <w:szCs w:val="23"/>
        </w:rPr>
        <w:t>图</w:t>
      </w:r>
      <w:r w:rsidRPr="00F212E7">
        <w:rPr>
          <w:rFonts w:eastAsia="仿宋_GB2312" w:hint="eastAsia"/>
          <w:kern w:val="0"/>
          <w:sz w:val="23"/>
          <w:szCs w:val="23"/>
        </w:rPr>
        <w:t xml:space="preserve">7  </w:t>
      </w:r>
      <w:r w:rsidRPr="00F212E7">
        <w:rPr>
          <w:rFonts w:eastAsia="仿宋_GB2312"/>
          <w:kern w:val="0"/>
          <w:sz w:val="23"/>
          <w:szCs w:val="23"/>
        </w:rPr>
        <w:t>20</w:t>
      </w:r>
      <w:r w:rsidRPr="00F212E7">
        <w:rPr>
          <w:rFonts w:eastAsia="仿宋_GB2312" w:hint="eastAsia"/>
          <w:kern w:val="0"/>
          <w:sz w:val="23"/>
          <w:szCs w:val="23"/>
        </w:rPr>
        <w:t>2</w:t>
      </w:r>
      <w:r w:rsidR="00844F67" w:rsidRPr="00F212E7">
        <w:rPr>
          <w:rFonts w:eastAsia="仿宋_GB2312" w:hint="eastAsia"/>
          <w:kern w:val="0"/>
          <w:sz w:val="23"/>
          <w:szCs w:val="23"/>
        </w:rPr>
        <w:t>1</w:t>
      </w:r>
      <w:r w:rsidRPr="00F212E7">
        <w:rPr>
          <w:rFonts w:eastAsia="仿宋_GB2312"/>
          <w:kern w:val="0"/>
          <w:sz w:val="23"/>
          <w:szCs w:val="23"/>
        </w:rPr>
        <w:t>-202</w:t>
      </w:r>
      <w:r w:rsidR="00844F67" w:rsidRPr="00F212E7">
        <w:rPr>
          <w:rFonts w:eastAsia="仿宋_GB2312" w:hint="eastAsia"/>
          <w:kern w:val="0"/>
          <w:sz w:val="23"/>
          <w:szCs w:val="23"/>
        </w:rPr>
        <w:t>5</w:t>
      </w:r>
      <w:r w:rsidRPr="00F212E7">
        <w:rPr>
          <w:rFonts w:eastAsia="仿宋_GB2312"/>
          <w:kern w:val="0"/>
          <w:sz w:val="23"/>
          <w:szCs w:val="23"/>
        </w:rPr>
        <w:t>年出口总额与增长速度</w:t>
      </w:r>
    </w:p>
    <w:p w:rsidR="00F014A3" w:rsidRPr="00F212E7" w:rsidRDefault="00844F67">
      <w:pPr>
        <w:ind w:firstLine="200"/>
        <w:jc w:val="center"/>
        <w:rPr>
          <w:rFonts w:eastAsia="仿宋_GB2312"/>
          <w:kern w:val="0"/>
          <w:sz w:val="23"/>
          <w:szCs w:val="23"/>
        </w:rPr>
      </w:pPr>
      <w:r w:rsidRPr="00F212E7">
        <w:rPr>
          <w:noProof/>
        </w:rPr>
        <w:drawing>
          <wp:inline distT="0" distB="0" distL="0" distR="0" wp14:anchorId="57A03BE1" wp14:editId="39260C57">
            <wp:extent cx="4610100" cy="2762250"/>
            <wp:effectExtent l="0" t="0" r="19050" b="19050"/>
            <wp:docPr id="6"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844F67" w:rsidRPr="00F212E7" w:rsidRDefault="00844F67" w:rsidP="00844F67">
      <w:pPr>
        <w:spacing w:line="560" w:lineRule="exact"/>
        <w:ind w:firstLineChars="200" w:firstLine="640"/>
        <w:rPr>
          <w:rFonts w:eastAsia="仿宋_GB2312"/>
          <w:bCs/>
          <w:caps/>
          <w:sz w:val="32"/>
          <w:szCs w:val="32"/>
        </w:rPr>
      </w:pPr>
      <w:bookmarkStart w:id="53" w:name="OLE_LINK92"/>
      <w:bookmarkStart w:id="54" w:name="OLE_LINK93"/>
      <w:r w:rsidRPr="00F212E7">
        <w:rPr>
          <w:rFonts w:eastAsia="仿宋_GB2312" w:hint="eastAsia"/>
          <w:bCs/>
          <w:caps/>
          <w:sz w:val="32"/>
          <w:szCs w:val="32"/>
        </w:rPr>
        <w:t>全年新批外商投资项目</w:t>
      </w:r>
      <w:r w:rsidRPr="00F212E7">
        <w:rPr>
          <w:rFonts w:eastAsia="仿宋_GB2312" w:hint="eastAsia"/>
          <w:bCs/>
          <w:caps/>
          <w:sz w:val="32"/>
          <w:szCs w:val="32"/>
        </w:rPr>
        <w:t>1971</w:t>
      </w:r>
      <w:r w:rsidRPr="00F212E7">
        <w:rPr>
          <w:rFonts w:eastAsia="仿宋_GB2312" w:hint="eastAsia"/>
          <w:bCs/>
          <w:caps/>
          <w:sz w:val="32"/>
          <w:szCs w:val="32"/>
        </w:rPr>
        <w:t>个，比上年增长</w:t>
      </w:r>
      <w:r w:rsidRPr="00F212E7">
        <w:rPr>
          <w:rFonts w:eastAsia="仿宋_GB2312" w:hint="eastAsia"/>
          <w:bCs/>
          <w:caps/>
          <w:sz w:val="32"/>
          <w:szCs w:val="32"/>
        </w:rPr>
        <w:t>13.4%</w:t>
      </w:r>
      <w:r w:rsidRPr="00F212E7">
        <w:rPr>
          <w:rFonts w:eastAsia="仿宋_GB2312" w:hint="eastAsia"/>
          <w:bCs/>
          <w:caps/>
          <w:sz w:val="32"/>
          <w:szCs w:val="32"/>
        </w:rPr>
        <w:t>；实际利用外资</w:t>
      </w:r>
      <w:r w:rsidRPr="00F212E7">
        <w:rPr>
          <w:rFonts w:eastAsia="仿宋_GB2312" w:hint="eastAsia"/>
          <w:bCs/>
          <w:caps/>
          <w:sz w:val="32"/>
          <w:szCs w:val="32"/>
        </w:rPr>
        <w:t>10040</w:t>
      </w:r>
      <w:r w:rsidRPr="00F212E7">
        <w:rPr>
          <w:rFonts w:eastAsia="仿宋_GB2312" w:hint="eastAsia"/>
          <w:bCs/>
          <w:caps/>
          <w:sz w:val="32"/>
          <w:szCs w:val="32"/>
        </w:rPr>
        <w:t>万美元。全年新批境外投资项目</w:t>
      </w:r>
      <w:r w:rsidRPr="00F212E7">
        <w:rPr>
          <w:rFonts w:eastAsia="仿宋_GB2312" w:hint="eastAsia"/>
          <w:bCs/>
          <w:caps/>
          <w:sz w:val="32"/>
          <w:szCs w:val="32"/>
        </w:rPr>
        <w:t>18</w:t>
      </w:r>
      <w:r w:rsidRPr="00F212E7">
        <w:rPr>
          <w:rFonts w:eastAsia="仿宋_GB2312" w:hint="eastAsia"/>
          <w:bCs/>
          <w:caps/>
          <w:sz w:val="32"/>
          <w:szCs w:val="32"/>
        </w:rPr>
        <w:t>个，总投资额</w:t>
      </w:r>
      <w:r w:rsidRPr="00F212E7">
        <w:rPr>
          <w:rFonts w:eastAsia="仿宋_GB2312" w:hint="eastAsia"/>
          <w:bCs/>
          <w:caps/>
          <w:sz w:val="32"/>
          <w:szCs w:val="32"/>
        </w:rPr>
        <w:t>2965.47</w:t>
      </w:r>
      <w:r w:rsidRPr="00F212E7">
        <w:rPr>
          <w:rFonts w:eastAsia="仿宋_GB2312" w:hint="eastAsia"/>
          <w:bCs/>
          <w:caps/>
          <w:sz w:val="32"/>
          <w:szCs w:val="32"/>
        </w:rPr>
        <w:t>万美元，其中中方投资额</w:t>
      </w:r>
      <w:r w:rsidRPr="00F212E7">
        <w:rPr>
          <w:rFonts w:eastAsia="仿宋_GB2312" w:hint="eastAsia"/>
          <w:bCs/>
          <w:caps/>
          <w:sz w:val="32"/>
          <w:szCs w:val="32"/>
        </w:rPr>
        <w:t>2769.78</w:t>
      </w:r>
      <w:r w:rsidRPr="00F212E7">
        <w:rPr>
          <w:rFonts w:eastAsia="仿宋_GB2312" w:hint="eastAsia"/>
          <w:bCs/>
          <w:caps/>
          <w:sz w:val="32"/>
          <w:szCs w:val="32"/>
        </w:rPr>
        <w:t>万美元。</w:t>
      </w:r>
      <w:bookmarkEnd w:id="53"/>
      <w:bookmarkEnd w:id="54"/>
    </w:p>
    <w:p w:rsidR="00F014A3" w:rsidRPr="00F212E7" w:rsidRDefault="00CD538F" w:rsidP="00FB4CFD">
      <w:pPr>
        <w:spacing w:line="560" w:lineRule="exact"/>
        <w:ind w:firstLineChars="200" w:firstLine="723"/>
        <w:outlineLvl w:val="0"/>
        <w:rPr>
          <w:rFonts w:eastAsia="仿宋_GB2312"/>
          <w:b/>
          <w:sz w:val="36"/>
        </w:rPr>
      </w:pPr>
      <w:r w:rsidRPr="00F212E7">
        <w:rPr>
          <w:rFonts w:eastAsia="仿宋_GB2312"/>
          <w:b/>
          <w:sz w:val="36"/>
        </w:rPr>
        <w:t>七、交通、邮电和旅游</w:t>
      </w:r>
    </w:p>
    <w:p w:rsidR="00984E08" w:rsidRPr="00F212E7" w:rsidRDefault="00984E08" w:rsidP="00984E08">
      <w:pPr>
        <w:spacing w:line="560" w:lineRule="exact"/>
        <w:ind w:firstLineChars="200" w:firstLine="640"/>
        <w:jc w:val="left"/>
        <w:outlineLvl w:val="0"/>
        <w:rPr>
          <w:rFonts w:eastAsia="仿宋_GB2312"/>
          <w:bCs/>
          <w:caps/>
          <w:sz w:val="32"/>
          <w:szCs w:val="32"/>
        </w:rPr>
      </w:pPr>
      <w:r w:rsidRPr="00F212E7">
        <w:rPr>
          <w:rFonts w:eastAsia="仿宋_GB2312" w:hint="eastAsia"/>
          <w:bCs/>
          <w:caps/>
          <w:sz w:val="32"/>
          <w:szCs w:val="32"/>
        </w:rPr>
        <w:lastRenderedPageBreak/>
        <w:t>截至</w:t>
      </w:r>
      <w:r w:rsidRPr="00F212E7">
        <w:rPr>
          <w:rFonts w:eastAsia="仿宋_GB2312" w:hint="eastAsia"/>
          <w:bCs/>
          <w:caps/>
          <w:sz w:val="32"/>
          <w:szCs w:val="32"/>
        </w:rPr>
        <w:t>2025</w:t>
      </w:r>
      <w:r w:rsidRPr="00F212E7">
        <w:rPr>
          <w:rFonts w:eastAsia="仿宋_GB2312" w:hint="eastAsia"/>
          <w:bCs/>
          <w:caps/>
          <w:sz w:val="32"/>
          <w:szCs w:val="32"/>
        </w:rPr>
        <w:t>年底全市共建成公路总里程约</w:t>
      </w:r>
      <w:r w:rsidRPr="00F212E7">
        <w:rPr>
          <w:rFonts w:eastAsia="仿宋_GB2312" w:hint="eastAsia"/>
          <w:bCs/>
          <w:caps/>
          <w:sz w:val="32"/>
          <w:szCs w:val="32"/>
        </w:rPr>
        <w:t>1497</w:t>
      </w:r>
      <w:r w:rsidRPr="00F212E7">
        <w:rPr>
          <w:rFonts w:eastAsia="仿宋_GB2312" w:hint="eastAsia"/>
          <w:bCs/>
          <w:caps/>
          <w:sz w:val="32"/>
          <w:szCs w:val="32"/>
        </w:rPr>
        <w:t>公里，境内等级公路里程约</w:t>
      </w:r>
      <w:r w:rsidRPr="00F212E7">
        <w:rPr>
          <w:rFonts w:eastAsia="仿宋_GB2312" w:hint="eastAsia"/>
          <w:bCs/>
          <w:caps/>
          <w:sz w:val="32"/>
          <w:szCs w:val="32"/>
        </w:rPr>
        <w:t>1497</w:t>
      </w:r>
      <w:r w:rsidRPr="00F212E7">
        <w:rPr>
          <w:rFonts w:eastAsia="仿宋_GB2312" w:hint="eastAsia"/>
          <w:bCs/>
          <w:caps/>
          <w:sz w:val="32"/>
          <w:szCs w:val="32"/>
        </w:rPr>
        <w:t>公里，境内一级及以上公路里程约</w:t>
      </w:r>
      <w:r w:rsidRPr="00F212E7">
        <w:rPr>
          <w:rFonts w:eastAsia="仿宋_GB2312" w:hint="eastAsia"/>
          <w:bCs/>
          <w:caps/>
          <w:sz w:val="32"/>
          <w:szCs w:val="32"/>
        </w:rPr>
        <w:t>345</w:t>
      </w:r>
      <w:r w:rsidRPr="00F212E7">
        <w:rPr>
          <w:rFonts w:eastAsia="仿宋_GB2312" w:hint="eastAsia"/>
          <w:bCs/>
          <w:caps/>
          <w:sz w:val="32"/>
          <w:szCs w:val="32"/>
        </w:rPr>
        <w:t>公里，境内高速公路里程</w:t>
      </w:r>
      <w:r w:rsidRPr="00F212E7">
        <w:rPr>
          <w:rFonts w:eastAsia="仿宋_GB2312" w:hint="eastAsia"/>
          <w:bCs/>
          <w:caps/>
          <w:sz w:val="32"/>
          <w:szCs w:val="32"/>
        </w:rPr>
        <w:t>75</w:t>
      </w:r>
      <w:r w:rsidRPr="00F212E7">
        <w:rPr>
          <w:rFonts w:eastAsia="仿宋_GB2312" w:hint="eastAsia"/>
          <w:bCs/>
          <w:caps/>
          <w:sz w:val="32"/>
          <w:szCs w:val="32"/>
        </w:rPr>
        <w:t>公里。全年共完成交通项目投资约</w:t>
      </w:r>
      <w:r w:rsidRPr="00F212E7">
        <w:rPr>
          <w:rFonts w:eastAsia="仿宋_GB2312" w:hint="eastAsia"/>
          <w:bCs/>
          <w:caps/>
          <w:sz w:val="32"/>
          <w:szCs w:val="32"/>
        </w:rPr>
        <w:t>87.3</w:t>
      </w:r>
      <w:r w:rsidRPr="00F212E7">
        <w:rPr>
          <w:rFonts w:eastAsia="仿宋_GB2312" w:hint="eastAsia"/>
          <w:bCs/>
          <w:caps/>
          <w:sz w:val="32"/>
          <w:szCs w:val="32"/>
        </w:rPr>
        <w:t>亿元，比上年增长</w:t>
      </w:r>
      <w:r w:rsidRPr="00F212E7">
        <w:rPr>
          <w:rFonts w:eastAsia="仿宋_GB2312" w:hint="eastAsia"/>
          <w:bCs/>
          <w:caps/>
          <w:sz w:val="32"/>
          <w:szCs w:val="32"/>
        </w:rPr>
        <w:t>13.8%</w:t>
      </w:r>
      <w:r w:rsidRPr="00F212E7">
        <w:rPr>
          <w:rFonts w:eastAsia="仿宋_GB2312" w:hint="eastAsia"/>
          <w:bCs/>
          <w:caps/>
          <w:sz w:val="32"/>
          <w:szCs w:val="32"/>
        </w:rPr>
        <w:t>。</w:t>
      </w:r>
    </w:p>
    <w:p w:rsidR="003639C9" w:rsidRPr="00F212E7" w:rsidRDefault="003639C9" w:rsidP="003639C9">
      <w:pPr>
        <w:spacing w:line="560" w:lineRule="exact"/>
        <w:ind w:firstLineChars="200" w:firstLine="640"/>
        <w:outlineLvl w:val="0"/>
        <w:rPr>
          <w:rFonts w:eastAsia="仿宋_GB2312"/>
          <w:bCs/>
          <w:caps/>
          <w:sz w:val="32"/>
          <w:szCs w:val="32"/>
        </w:rPr>
      </w:pPr>
      <w:r w:rsidRPr="00F212E7">
        <w:rPr>
          <w:rFonts w:eastAsia="仿宋_GB2312" w:hint="eastAsia"/>
          <w:bCs/>
          <w:caps/>
          <w:sz w:val="32"/>
          <w:szCs w:val="32"/>
        </w:rPr>
        <w:t>甬金高速公路改扩建工程</w:t>
      </w:r>
      <w:r w:rsidRPr="00F212E7">
        <w:rPr>
          <w:rFonts w:eastAsia="仿宋_GB2312" w:hint="eastAsia"/>
          <w:bCs/>
          <w:caps/>
          <w:sz w:val="32"/>
          <w:szCs w:val="32"/>
        </w:rPr>
        <w:t>5</w:t>
      </w:r>
      <w:r w:rsidRPr="00F212E7">
        <w:rPr>
          <w:rFonts w:eastAsia="仿宋_GB2312" w:hint="eastAsia"/>
          <w:bCs/>
          <w:caps/>
          <w:sz w:val="32"/>
          <w:szCs w:val="32"/>
        </w:rPr>
        <w:t>月</w:t>
      </w:r>
      <w:r w:rsidRPr="00F212E7">
        <w:rPr>
          <w:rFonts w:eastAsia="仿宋_GB2312" w:hint="eastAsia"/>
          <w:bCs/>
          <w:caps/>
          <w:sz w:val="32"/>
          <w:szCs w:val="32"/>
        </w:rPr>
        <w:t>21</w:t>
      </w:r>
      <w:r w:rsidRPr="00F212E7">
        <w:rPr>
          <w:rFonts w:eastAsia="仿宋_GB2312" w:hint="eastAsia"/>
          <w:bCs/>
          <w:caps/>
          <w:sz w:val="32"/>
          <w:szCs w:val="32"/>
        </w:rPr>
        <w:t>日取得项目全线施工许可，截至</w:t>
      </w:r>
      <w:r w:rsidRPr="00F212E7">
        <w:rPr>
          <w:rFonts w:eastAsia="仿宋_GB2312" w:hint="eastAsia"/>
          <w:bCs/>
          <w:caps/>
          <w:sz w:val="32"/>
          <w:szCs w:val="32"/>
        </w:rPr>
        <w:t>12</w:t>
      </w:r>
      <w:r w:rsidRPr="00F212E7">
        <w:rPr>
          <w:rFonts w:eastAsia="仿宋_GB2312" w:hint="eastAsia"/>
          <w:bCs/>
          <w:caps/>
          <w:sz w:val="32"/>
          <w:szCs w:val="32"/>
        </w:rPr>
        <w:t>月全线累计总体形象进度完成</w:t>
      </w:r>
      <w:r w:rsidRPr="00F212E7">
        <w:rPr>
          <w:rFonts w:eastAsia="仿宋_GB2312" w:hint="eastAsia"/>
          <w:bCs/>
          <w:caps/>
          <w:sz w:val="32"/>
          <w:szCs w:val="32"/>
        </w:rPr>
        <w:t>26%</w:t>
      </w:r>
      <w:r w:rsidRPr="00F212E7">
        <w:rPr>
          <w:rFonts w:eastAsia="仿宋_GB2312" w:hint="eastAsia"/>
          <w:bCs/>
          <w:caps/>
          <w:sz w:val="32"/>
          <w:szCs w:val="32"/>
        </w:rPr>
        <w:t>；义龙庆高速义乌段于</w:t>
      </w:r>
      <w:r w:rsidRPr="00F212E7">
        <w:rPr>
          <w:rFonts w:eastAsia="仿宋_GB2312" w:hint="eastAsia"/>
          <w:bCs/>
          <w:caps/>
          <w:sz w:val="32"/>
          <w:szCs w:val="32"/>
        </w:rPr>
        <w:t>9</w:t>
      </w:r>
      <w:r w:rsidRPr="00F212E7">
        <w:rPr>
          <w:rFonts w:eastAsia="仿宋_GB2312" w:hint="eastAsia"/>
          <w:bCs/>
          <w:caps/>
          <w:sz w:val="32"/>
          <w:szCs w:val="32"/>
        </w:rPr>
        <w:t>月完成施工和监理招标，</w:t>
      </w:r>
      <w:r w:rsidRPr="00F212E7">
        <w:rPr>
          <w:rFonts w:eastAsia="仿宋_GB2312" w:hint="eastAsia"/>
          <w:bCs/>
          <w:caps/>
          <w:sz w:val="32"/>
          <w:szCs w:val="32"/>
        </w:rPr>
        <w:t>11</w:t>
      </w:r>
      <w:r w:rsidRPr="00F212E7">
        <w:rPr>
          <w:rFonts w:eastAsia="仿宋_GB2312" w:hint="eastAsia"/>
          <w:bCs/>
          <w:caps/>
          <w:sz w:val="32"/>
          <w:szCs w:val="32"/>
        </w:rPr>
        <w:t>月</w:t>
      </w:r>
      <w:r w:rsidRPr="00F212E7">
        <w:rPr>
          <w:rFonts w:eastAsia="仿宋_GB2312" w:hint="eastAsia"/>
          <w:bCs/>
          <w:caps/>
          <w:sz w:val="32"/>
          <w:szCs w:val="32"/>
        </w:rPr>
        <w:t>28</w:t>
      </w:r>
      <w:r w:rsidRPr="00F212E7">
        <w:rPr>
          <w:rFonts w:eastAsia="仿宋_GB2312" w:hint="eastAsia"/>
          <w:bCs/>
          <w:caps/>
          <w:sz w:val="32"/>
          <w:szCs w:val="32"/>
        </w:rPr>
        <w:t>日先行段开工；</w:t>
      </w:r>
      <w:r w:rsidRPr="00F212E7">
        <w:rPr>
          <w:rFonts w:eastAsia="仿宋_GB2312" w:hint="eastAsia"/>
          <w:bCs/>
          <w:caps/>
          <w:sz w:val="32"/>
          <w:szCs w:val="32"/>
        </w:rPr>
        <w:t>5</w:t>
      </w:r>
      <w:r w:rsidRPr="00F212E7">
        <w:rPr>
          <w:rFonts w:eastAsia="仿宋_GB2312" w:hint="eastAsia"/>
          <w:bCs/>
          <w:caps/>
          <w:sz w:val="32"/>
          <w:szCs w:val="32"/>
        </w:rPr>
        <w:t>月</w:t>
      </w:r>
      <w:r w:rsidRPr="00F212E7">
        <w:rPr>
          <w:rFonts w:eastAsia="仿宋_GB2312" w:hint="eastAsia"/>
          <w:bCs/>
          <w:caps/>
          <w:sz w:val="32"/>
          <w:szCs w:val="32"/>
        </w:rPr>
        <w:t>6</w:t>
      </w:r>
      <w:r w:rsidRPr="00F212E7">
        <w:rPr>
          <w:rFonts w:eastAsia="仿宋_GB2312" w:hint="eastAsia"/>
          <w:bCs/>
          <w:caps/>
          <w:sz w:val="32"/>
          <w:szCs w:val="32"/>
        </w:rPr>
        <w:t>日诸义高速项目建议书获省发改委批复；</w:t>
      </w:r>
      <w:r w:rsidRPr="00F212E7">
        <w:rPr>
          <w:rFonts w:eastAsia="仿宋_GB2312" w:hint="eastAsia"/>
          <w:bCs/>
          <w:caps/>
          <w:sz w:val="32"/>
          <w:szCs w:val="32"/>
        </w:rPr>
        <w:t>S218</w:t>
      </w:r>
      <w:r w:rsidRPr="00F212E7">
        <w:rPr>
          <w:rFonts w:eastAsia="仿宋_GB2312" w:hint="eastAsia"/>
          <w:bCs/>
          <w:caps/>
          <w:sz w:val="32"/>
          <w:szCs w:val="32"/>
        </w:rPr>
        <w:t>安吉至龙港公路义乌赤岸至永康交界段公路工程</w:t>
      </w:r>
      <w:r w:rsidRPr="00F212E7">
        <w:rPr>
          <w:rFonts w:eastAsia="仿宋_GB2312" w:hint="eastAsia"/>
          <w:bCs/>
          <w:caps/>
          <w:sz w:val="32"/>
          <w:szCs w:val="32"/>
        </w:rPr>
        <w:t>1</w:t>
      </w:r>
      <w:r w:rsidRPr="00F212E7">
        <w:rPr>
          <w:rFonts w:eastAsia="仿宋_GB2312" w:hint="eastAsia"/>
          <w:bCs/>
          <w:caps/>
          <w:sz w:val="32"/>
          <w:szCs w:val="32"/>
        </w:rPr>
        <w:t>月</w:t>
      </w:r>
      <w:r w:rsidRPr="00F212E7">
        <w:rPr>
          <w:rFonts w:eastAsia="仿宋_GB2312" w:hint="eastAsia"/>
          <w:bCs/>
          <w:caps/>
          <w:sz w:val="32"/>
          <w:szCs w:val="32"/>
        </w:rPr>
        <w:t>22</w:t>
      </w:r>
      <w:r w:rsidRPr="00F212E7">
        <w:rPr>
          <w:rFonts w:eastAsia="仿宋_GB2312" w:hint="eastAsia"/>
          <w:bCs/>
          <w:caps/>
          <w:sz w:val="32"/>
          <w:szCs w:val="32"/>
        </w:rPr>
        <w:t>日通车，</w:t>
      </w:r>
      <w:r w:rsidRPr="00F212E7">
        <w:rPr>
          <w:rFonts w:eastAsia="仿宋_GB2312" w:hint="eastAsia"/>
          <w:bCs/>
          <w:caps/>
          <w:sz w:val="32"/>
          <w:szCs w:val="32"/>
        </w:rPr>
        <w:t>S217</w:t>
      </w:r>
      <w:r w:rsidRPr="00F212E7">
        <w:rPr>
          <w:rFonts w:eastAsia="仿宋_GB2312" w:hint="eastAsia"/>
          <w:bCs/>
          <w:caps/>
          <w:sz w:val="32"/>
          <w:szCs w:val="32"/>
        </w:rPr>
        <w:t>萧山至磐安公路义乌江东至赤岸公路工程</w:t>
      </w:r>
      <w:r w:rsidRPr="00F212E7">
        <w:rPr>
          <w:rFonts w:eastAsia="仿宋_GB2312" w:hint="eastAsia"/>
          <w:bCs/>
          <w:caps/>
          <w:sz w:val="32"/>
          <w:szCs w:val="32"/>
        </w:rPr>
        <w:t>9</w:t>
      </w:r>
      <w:r w:rsidRPr="00F212E7">
        <w:rPr>
          <w:rFonts w:eastAsia="仿宋_GB2312" w:hint="eastAsia"/>
          <w:bCs/>
          <w:caps/>
          <w:sz w:val="32"/>
          <w:szCs w:val="32"/>
        </w:rPr>
        <w:t>月</w:t>
      </w:r>
      <w:r w:rsidRPr="00F212E7">
        <w:rPr>
          <w:rFonts w:eastAsia="仿宋_GB2312" w:hint="eastAsia"/>
          <w:bCs/>
          <w:caps/>
          <w:sz w:val="32"/>
          <w:szCs w:val="32"/>
        </w:rPr>
        <w:t>28</w:t>
      </w:r>
      <w:r w:rsidRPr="00F212E7">
        <w:rPr>
          <w:rFonts w:eastAsia="仿宋_GB2312" w:hint="eastAsia"/>
          <w:bCs/>
          <w:caps/>
          <w:sz w:val="32"/>
          <w:szCs w:val="32"/>
        </w:rPr>
        <w:t>日主线建成通车；</w:t>
      </w:r>
      <w:r w:rsidRPr="00F212E7">
        <w:rPr>
          <w:rFonts w:eastAsia="仿宋_GB2312" w:hint="eastAsia"/>
          <w:bCs/>
          <w:caps/>
          <w:sz w:val="32"/>
          <w:szCs w:val="32"/>
        </w:rPr>
        <w:t>235</w:t>
      </w:r>
      <w:r w:rsidRPr="00F212E7">
        <w:rPr>
          <w:rFonts w:eastAsia="仿宋_GB2312" w:hint="eastAsia"/>
          <w:bCs/>
          <w:caps/>
          <w:sz w:val="32"/>
          <w:szCs w:val="32"/>
        </w:rPr>
        <w:t>国道义乌龙回至祥贝段改建工程涉铁段截至</w:t>
      </w:r>
      <w:r w:rsidRPr="00F212E7">
        <w:rPr>
          <w:rFonts w:eastAsia="仿宋_GB2312" w:hint="eastAsia"/>
          <w:bCs/>
          <w:caps/>
          <w:sz w:val="32"/>
          <w:szCs w:val="32"/>
        </w:rPr>
        <w:t>12</w:t>
      </w:r>
      <w:r w:rsidRPr="00F212E7">
        <w:rPr>
          <w:rFonts w:eastAsia="仿宋_GB2312" w:hint="eastAsia"/>
          <w:bCs/>
          <w:caps/>
          <w:sz w:val="32"/>
          <w:szCs w:val="32"/>
        </w:rPr>
        <w:t>月总体进度完成</w:t>
      </w:r>
      <w:r w:rsidRPr="00F212E7">
        <w:rPr>
          <w:rFonts w:eastAsia="仿宋_GB2312" w:hint="eastAsia"/>
          <w:bCs/>
          <w:caps/>
          <w:sz w:val="32"/>
          <w:szCs w:val="32"/>
        </w:rPr>
        <w:t>67%</w:t>
      </w:r>
      <w:r w:rsidRPr="00F212E7">
        <w:rPr>
          <w:rFonts w:eastAsia="仿宋_GB2312" w:hint="eastAsia"/>
          <w:bCs/>
          <w:caps/>
          <w:sz w:val="32"/>
          <w:szCs w:val="32"/>
        </w:rPr>
        <w:t>，</w:t>
      </w:r>
      <w:r w:rsidRPr="00F212E7">
        <w:rPr>
          <w:rFonts w:eastAsia="仿宋_GB2312" w:hint="eastAsia"/>
          <w:bCs/>
          <w:caps/>
          <w:sz w:val="32"/>
          <w:szCs w:val="32"/>
        </w:rPr>
        <w:t>G235</w:t>
      </w:r>
      <w:r w:rsidRPr="00F212E7">
        <w:rPr>
          <w:rFonts w:eastAsia="仿宋_GB2312" w:hint="eastAsia"/>
          <w:bCs/>
          <w:caps/>
          <w:sz w:val="32"/>
          <w:szCs w:val="32"/>
        </w:rPr>
        <w:t>义乌龙回至祥贝段改建工程（二期）</w:t>
      </w:r>
      <w:r w:rsidRPr="00F212E7">
        <w:rPr>
          <w:rFonts w:eastAsia="仿宋_GB2312" w:hint="eastAsia"/>
          <w:bCs/>
          <w:caps/>
          <w:sz w:val="32"/>
          <w:szCs w:val="32"/>
        </w:rPr>
        <w:t>9</w:t>
      </w:r>
      <w:r w:rsidRPr="00F212E7">
        <w:rPr>
          <w:rFonts w:eastAsia="仿宋_GB2312" w:hint="eastAsia"/>
          <w:bCs/>
          <w:caps/>
          <w:sz w:val="32"/>
          <w:szCs w:val="32"/>
        </w:rPr>
        <w:t>月已完成施工和监理招标；</w:t>
      </w:r>
      <w:r w:rsidRPr="00F212E7">
        <w:rPr>
          <w:rFonts w:eastAsia="仿宋_GB2312" w:hint="eastAsia"/>
          <w:bCs/>
          <w:caps/>
          <w:sz w:val="32"/>
          <w:szCs w:val="32"/>
        </w:rPr>
        <w:t>235</w:t>
      </w:r>
      <w:r w:rsidRPr="00F212E7">
        <w:rPr>
          <w:rFonts w:eastAsia="仿宋_GB2312" w:hint="eastAsia"/>
          <w:bCs/>
          <w:caps/>
          <w:sz w:val="32"/>
          <w:szCs w:val="32"/>
        </w:rPr>
        <w:t>国道浦江郑家坞至义乌大陈段公路工程</w:t>
      </w:r>
      <w:r w:rsidRPr="00F212E7">
        <w:rPr>
          <w:rFonts w:eastAsia="仿宋_GB2312" w:hint="eastAsia"/>
          <w:bCs/>
          <w:caps/>
          <w:sz w:val="32"/>
          <w:szCs w:val="32"/>
        </w:rPr>
        <w:t>12</w:t>
      </w:r>
      <w:r w:rsidRPr="00F212E7">
        <w:rPr>
          <w:rFonts w:eastAsia="仿宋_GB2312" w:hint="eastAsia"/>
          <w:bCs/>
          <w:caps/>
          <w:sz w:val="32"/>
          <w:szCs w:val="32"/>
        </w:rPr>
        <w:t>月主体工程已进场施工；</w:t>
      </w:r>
      <w:r w:rsidRPr="00F212E7">
        <w:rPr>
          <w:rFonts w:eastAsia="仿宋_GB2312" w:hint="eastAsia"/>
          <w:bCs/>
          <w:caps/>
          <w:sz w:val="32"/>
          <w:szCs w:val="32"/>
        </w:rPr>
        <w:t>S217</w:t>
      </w:r>
      <w:r w:rsidRPr="00F212E7">
        <w:rPr>
          <w:rFonts w:eastAsia="仿宋_GB2312" w:hint="eastAsia"/>
          <w:bCs/>
          <w:caps/>
          <w:sz w:val="32"/>
          <w:szCs w:val="32"/>
        </w:rPr>
        <w:t>萧山至磐安公路义乌苏溪至江东段工程（武德路）</w:t>
      </w:r>
      <w:r w:rsidRPr="00F212E7">
        <w:rPr>
          <w:rFonts w:eastAsia="仿宋_GB2312" w:hint="eastAsia"/>
          <w:bCs/>
          <w:caps/>
          <w:sz w:val="32"/>
          <w:szCs w:val="32"/>
        </w:rPr>
        <w:t>8</w:t>
      </w:r>
      <w:r w:rsidRPr="00F212E7">
        <w:rPr>
          <w:rFonts w:eastAsia="仿宋_GB2312" w:hint="eastAsia"/>
          <w:bCs/>
          <w:caps/>
          <w:sz w:val="32"/>
          <w:szCs w:val="32"/>
        </w:rPr>
        <w:t>月</w:t>
      </w:r>
      <w:r w:rsidRPr="00F212E7">
        <w:rPr>
          <w:rFonts w:eastAsia="仿宋_GB2312" w:hint="eastAsia"/>
          <w:bCs/>
          <w:caps/>
          <w:sz w:val="32"/>
          <w:szCs w:val="32"/>
        </w:rPr>
        <w:t>29</w:t>
      </w:r>
      <w:r w:rsidRPr="00F212E7">
        <w:rPr>
          <w:rFonts w:eastAsia="仿宋_GB2312" w:hint="eastAsia"/>
          <w:bCs/>
          <w:caps/>
          <w:sz w:val="32"/>
          <w:szCs w:val="32"/>
        </w:rPr>
        <w:t>日完成工可批复；</w:t>
      </w:r>
      <w:r w:rsidRPr="00F212E7">
        <w:rPr>
          <w:rFonts w:eastAsia="仿宋_GB2312" w:hint="eastAsia"/>
          <w:bCs/>
          <w:caps/>
          <w:sz w:val="32"/>
          <w:szCs w:val="32"/>
        </w:rPr>
        <w:t>S218</w:t>
      </w:r>
      <w:r w:rsidRPr="00F212E7">
        <w:rPr>
          <w:rFonts w:eastAsia="仿宋_GB2312" w:hint="eastAsia"/>
          <w:bCs/>
          <w:caps/>
          <w:sz w:val="32"/>
          <w:szCs w:val="32"/>
        </w:rPr>
        <w:t>安吉至龙港公路义乌稠江至佛堂段工程（香溪路改造）项目湖区段先行段</w:t>
      </w:r>
      <w:r w:rsidRPr="00F212E7">
        <w:rPr>
          <w:rFonts w:eastAsia="仿宋_GB2312" w:hint="eastAsia"/>
          <w:bCs/>
          <w:caps/>
          <w:sz w:val="32"/>
          <w:szCs w:val="32"/>
        </w:rPr>
        <w:t>9</w:t>
      </w:r>
      <w:r w:rsidRPr="00F212E7">
        <w:rPr>
          <w:rFonts w:eastAsia="仿宋_GB2312" w:hint="eastAsia"/>
          <w:bCs/>
          <w:caps/>
          <w:sz w:val="32"/>
          <w:szCs w:val="32"/>
        </w:rPr>
        <w:t>月</w:t>
      </w:r>
      <w:r w:rsidRPr="00F212E7">
        <w:rPr>
          <w:rFonts w:eastAsia="仿宋_GB2312" w:hint="eastAsia"/>
          <w:bCs/>
          <w:caps/>
          <w:sz w:val="32"/>
          <w:szCs w:val="32"/>
        </w:rPr>
        <w:t>18</w:t>
      </w:r>
      <w:r w:rsidRPr="00F212E7">
        <w:rPr>
          <w:rFonts w:eastAsia="仿宋_GB2312" w:hint="eastAsia"/>
          <w:bCs/>
          <w:caps/>
          <w:sz w:val="32"/>
          <w:szCs w:val="32"/>
        </w:rPr>
        <w:t>日开工。</w:t>
      </w:r>
    </w:p>
    <w:p w:rsidR="00F014A3" w:rsidRPr="00F212E7" w:rsidRDefault="00CD538F">
      <w:pPr>
        <w:spacing w:line="560" w:lineRule="exact"/>
        <w:ind w:firstLineChars="200" w:firstLine="640"/>
        <w:outlineLvl w:val="0"/>
        <w:rPr>
          <w:rFonts w:eastAsia="仿宋_GB2312"/>
          <w:bCs/>
          <w:caps/>
          <w:sz w:val="32"/>
          <w:szCs w:val="32"/>
        </w:rPr>
      </w:pPr>
      <w:r w:rsidRPr="00F212E7">
        <w:rPr>
          <w:rFonts w:eastAsia="仿宋_GB2312" w:hint="eastAsia"/>
          <w:bCs/>
          <w:caps/>
          <w:sz w:val="32"/>
          <w:szCs w:val="32"/>
        </w:rPr>
        <w:t>全年</w:t>
      </w:r>
      <w:r w:rsidRPr="00F212E7">
        <w:rPr>
          <w:rFonts w:eastAsia="仿宋_GB2312"/>
          <w:bCs/>
          <w:caps/>
          <w:sz w:val="32"/>
          <w:szCs w:val="32"/>
        </w:rPr>
        <w:t>义乌机场共完成总起降架次</w:t>
      </w:r>
      <w:r w:rsidR="00335411" w:rsidRPr="00F212E7">
        <w:rPr>
          <w:rFonts w:eastAsia="仿宋_GB2312" w:hint="eastAsia"/>
          <w:bCs/>
          <w:caps/>
          <w:sz w:val="32"/>
          <w:szCs w:val="32"/>
        </w:rPr>
        <w:t>28234</w:t>
      </w:r>
      <w:r w:rsidRPr="00F212E7">
        <w:rPr>
          <w:rFonts w:eastAsia="仿宋_GB2312"/>
          <w:bCs/>
          <w:caps/>
          <w:sz w:val="32"/>
          <w:szCs w:val="32"/>
        </w:rPr>
        <w:t>架次，</w:t>
      </w:r>
      <w:r w:rsidRPr="00F212E7">
        <w:rPr>
          <w:rFonts w:eastAsia="仿宋_GB2312" w:hint="eastAsia"/>
          <w:bCs/>
          <w:caps/>
          <w:sz w:val="32"/>
          <w:szCs w:val="32"/>
        </w:rPr>
        <w:t>比上年</w:t>
      </w:r>
      <w:r w:rsidRPr="00F212E7">
        <w:rPr>
          <w:rFonts w:eastAsia="仿宋_GB2312"/>
          <w:bCs/>
          <w:caps/>
          <w:sz w:val="32"/>
          <w:szCs w:val="32"/>
        </w:rPr>
        <w:t>增长</w:t>
      </w:r>
      <w:r w:rsidR="00335411" w:rsidRPr="00F212E7">
        <w:rPr>
          <w:rFonts w:eastAsia="仿宋_GB2312" w:hint="eastAsia"/>
          <w:bCs/>
          <w:caps/>
          <w:sz w:val="32"/>
          <w:szCs w:val="32"/>
        </w:rPr>
        <w:t>5.8</w:t>
      </w:r>
      <w:r w:rsidRPr="00F212E7">
        <w:rPr>
          <w:rFonts w:eastAsia="仿宋_GB2312"/>
          <w:bCs/>
          <w:caps/>
          <w:sz w:val="32"/>
          <w:szCs w:val="32"/>
        </w:rPr>
        <w:t>%</w:t>
      </w:r>
      <w:r w:rsidRPr="00F212E7">
        <w:rPr>
          <w:rFonts w:eastAsia="仿宋_GB2312"/>
          <w:bCs/>
          <w:caps/>
          <w:sz w:val="32"/>
          <w:szCs w:val="32"/>
        </w:rPr>
        <w:t>。全年旅客吞吐量为</w:t>
      </w:r>
      <w:r w:rsidR="00335411" w:rsidRPr="00F212E7">
        <w:rPr>
          <w:rFonts w:eastAsia="仿宋_GB2312" w:hint="eastAsia"/>
          <w:bCs/>
          <w:caps/>
          <w:sz w:val="32"/>
          <w:szCs w:val="32"/>
        </w:rPr>
        <w:t>368.45</w:t>
      </w:r>
      <w:r w:rsidRPr="00F212E7">
        <w:rPr>
          <w:rFonts w:eastAsia="仿宋_GB2312"/>
          <w:bCs/>
          <w:caps/>
          <w:sz w:val="32"/>
          <w:szCs w:val="32"/>
        </w:rPr>
        <w:t>万人次，增长</w:t>
      </w:r>
      <w:r w:rsidR="00335411" w:rsidRPr="00F212E7">
        <w:rPr>
          <w:rFonts w:eastAsia="仿宋_GB2312" w:hint="eastAsia"/>
          <w:bCs/>
          <w:caps/>
          <w:sz w:val="32"/>
          <w:szCs w:val="32"/>
        </w:rPr>
        <w:t>8.3</w:t>
      </w:r>
      <w:r w:rsidRPr="00F212E7">
        <w:rPr>
          <w:rFonts w:eastAsia="仿宋_GB2312"/>
          <w:bCs/>
          <w:caps/>
          <w:sz w:val="32"/>
          <w:szCs w:val="32"/>
        </w:rPr>
        <w:t>%</w:t>
      </w:r>
      <w:r w:rsidRPr="00F212E7">
        <w:rPr>
          <w:rFonts w:eastAsia="仿宋_GB2312"/>
          <w:bCs/>
          <w:caps/>
          <w:sz w:val="32"/>
          <w:szCs w:val="32"/>
        </w:rPr>
        <w:t>。进港旅客为</w:t>
      </w:r>
      <w:r w:rsidR="00335411" w:rsidRPr="00F212E7">
        <w:rPr>
          <w:rFonts w:eastAsia="仿宋_GB2312" w:hint="eastAsia"/>
          <w:bCs/>
          <w:caps/>
          <w:sz w:val="32"/>
          <w:szCs w:val="32"/>
        </w:rPr>
        <w:t>182.95</w:t>
      </w:r>
      <w:r w:rsidRPr="00F212E7">
        <w:rPr>
          <w:rFonts w:eastAsia="仿宋_GB2312"/>
          <w:bCs/>
          <w:caps/>
          <w:sz w:val="32"/>
          <w:szCs w:val="32"/>
        </w:rPr>
        <w:t>万人次，增长</w:t>
      </w:r>
      <w:r w:rsidR="00335411" w:rsidRPr="00F212E7">
        <w:rPr>
          <w:rFonts w:eastAsia="仿宋_GB2312" w:hint="eastAsia"/>
          <w:bCs/>
          <w:caps/>
          <w:sz w:val="32"/>
          <w:szCs w:val="32"/>
        </w:rPr>
        <w:t>9.3</w:t>
      </w:r>
      <w:r w:rsidRPr="00F212E7">
        <w:rPr>
          <w:rFonts w:eastAsia="仿宋_GB2312"/>
          <w:bCs/>
          <w:caps/>
          <w:sz w:val="32"/>
          <w:szCs w:val="32"/>
        </w:rPr>
        <w:t>%</w:t>
      </w:r>
      <w:r w:rsidRPr="00F212E7">
        <w:rPr>
          <w:rFonts w:eastAsia="仿宋_GB2312"/>
          <w:bCs/>
          <w:caps/>
          <w:sz w:val="32"/>
          <w:szCs w:val="32"/>
        </w:rPr>
        <w:t>，出港旅客为</w:t>
      </w:r>
      <w:r w:rsidR="00335411" w:rsidRPr="00F212E7">
        <w:rPr>
          <w:rFonts w:eastAsia="仿宋_GB2312" w:hint="eastAsia"/>
          <w:bCs/>
          <w:caps/>
          <w:sz w:val="32"/>
          <w:szCs w:val="32"/>
        </w:rPr>
        <w:t>185.5</w:t>
      </w:r>
      <w:r w:rsidRPr="00F212E7">
        <w:rPr>
          <w:rFonts w:eastAsia="仿宋_GB2312"/>
          <w:bCs/>
          <w:caps/>
          <w:sz w:val="32"/>
          <w:szCs w:val="32"/>
        </w:rPr>
        <w:t>万人次，增长</w:t>
      </w:r>
      <w:r w:rsidR="00335411" w:rsidRPr="00F212E7">
        <w:rPr>
          <w:rFonts w:eastAsia="仿宋_GB2312" w:hint="eastAsia"/>
          <w:bCs/>
          <w:caps/>
          <w:sz w:val="32"/>
          <w:szCs w:val="32"/>
        </w:rPr>
        <w:t>7.3</w:t>
      </w:r>
      <w:r w:rsidRPr="00F212E7">
        <w:rPr>
          <w:rFonts w:eastAsia="仿宋_GB2312"/>
          <w:bCs/>
          <w:caps/>
          <w:sz w:val="32"/>
          <w:szCs w:val="32"/>
        </w:rPr>
        <w:t>%</w:t>
      </w:r>
      <w:r w:rsidRPr="00F212E7">
        <w:rPr>
          <w:rFonts w:eastAsia="仿宋_GB2312"/>
          <w:bCs/>
          <w:caps/>
          <w:sz w:val="32"/>
          <w:szCs w:val="32"/>
        </w:rPr>
        <w:t>。完成货邮吞吐量</w:t>
      </w:r>
      <w:r w:rsidR="00335411" w:rsidRPr="00F212E7">
        <w:rPr>
          <w:rFonts w:eastAsia="仿宋_GB2312" w:hint="eastAsia"/>
          <w:bCs/>
          <w:caps/>
          <w:sz w:val="32"/>
          <w:szCs w:val="32"/>
        </w:rPr>
        <w:t>24386.9</w:t>
      </w:r>
      <w:r w:rsidRPr="00F212E7">
        <w:rPr>
          <w:rFonts w:eastAsia="仿宋_GB2312"/>
          <w:bCs/>
          <w:caps/>
          <w:sz w:val="32"/>
          <w:szCs w:val="32"/>
        </w:rPr>
        <w:t>吨，增长</w:t>
      </w:r>
      <w:r w:rsidR="00335411" w:rsidRPr="00F212E7">
        <w:rPr>
          <w:rFonts w:eastAsia="仿宋_GB2312" w:hint="eastAsia"/>
          <w:bCs/>
          <w:caps/>
          <w:sz w:val="32"/>
          <w:szCs w:val="32"/>
        </w:rPr>
        <w:t>7.5</w:t>
      </w:r>
      <w:r w:rsidRPr="00F212E7">
        <w:rPr>
          <w:rFonts w:eastAsia="仿宋_GB2312"/>
          <w:bCs/>
          <w:caps/>
          <w:sz w:val="32"/>
          <w:szCs w:val="32"/>
        </w:rPr>
        <w:t>%</w:t>
      </w:r>
      <w:r w:rsidRPr="00F212E7">
        <w:rPr>
          <w:rFonts w:eastAsia="仿宋_GB2312"/>
          <w:bCs/>
          <w:caps/>
          <w:sz w:val="32"/>
          <w:szCs w:val="32"/>
        </w:rPr>
        <w:t>。</w:t>
      </w:r>
    </w:p>
    <w:p w:rsidR="00B33B5B" w:rsidRPr="00F212E7" w:rsidRDefault="00B33B5B" w:rsidP="00B33B5B">
      <w:pPr>
        <w:spacing w:line="560" w:lineRule="exact"/>
        <w:ind w:firstLineChars="200" w:firstLine="640"/>
        <w:outlineLvl w:val="0"/>
        <w:rPr>
          <w:rFonts w:eastAsia="仿宋_GB2312"/>
          <w:bCs/>
          <w:caps/>
          <w:sz w:val="32"/>
          <w:szCs w:val="32"/>
        </w:rPr>
      </w:pPr>
      <w:r w:rsidRPr="00F212E7">
        <w:rPr>
          <w:rFonts w:eastAsia="仿宋_GB2312" w:hint="eastAsia"/>
          <w:bCs/>
          <w:caps/>
          <w:sz w:val="32"/>
          <w:szCs w:val="32"/>
        </w:rPr>
        <w:t>年末全市机动车保有量</w:t>
      </w:r>
      <w:r w:rsidRPr="00F212E7">
        <w:rPr>
          <w:rFonts w:eastAsia="仿宋_GB2312" w:hint="eastAsia"/>
          <w:bCs/>
          <w:caps/>
          <w:sz w:val="32"/>
          <w:szCs w:val="32"/>
        </w:rPr>
        <w:t>110.59</w:t>
      </w:r>
      <w:r w:rsidRPr="00F212E7">
        <w:rPr>
          <w:rFonts w:eastAsia="仿宋_GB2312" w:hint="eastAsia"/>
          <w:bCs/>
          <w:caps/>
          <w:sz w:val="32"/>
          <w:szCs w:val="32"/>
        </w:rPr>
        <w:t>万辆，比上年增长</w:t>
      </w:r>
      <w:r w:rsidRPr="00F212E7">
        <w:rPr>
          <w:rFonts w:eastAsia="仿宋_GB2312" w:hint="eastAsia"/>
          <w:bCs/>
          <w:caps/>
          <w:sz w:val="32"/>
          <w:szCs w:val="32"/>
        </w:rPr>
        <w:t>5.1%</w:t>
      </w:r>
      <w:r w:rsidRPr="00F212E7">
        <w:rPr>
          <w:rFonts w:eastAsia="仿宋_GB2312" w:hint="eastAsia"/>
          <w:bCs/>
          <w:caps/>
          <w:sz w:val="32"/>
          <w:szCs w:val="32"/>
        </w:rPr>
        <w:t>。其中，汽车拥有量为</w:t>
      </w:r>
      <w:r w:rsidRPr="00F212E7">
        <w:rPr>
          <w:rFonts w:eastAsia="仿宋_GB2312" w:hint="eastAsia"/>
          <w:bCs/>
          <w:caps/>
          <w:sz w:val="32"/>
          <w:szCs w:val="32"/>
        </w:rPr>
        <w:t>99.62</w:t>
      </w:r>
      <w:r w:rsidRPr="00F212E7">
        <w:rPr>
          <w:rFonts w:eastAsia="仿宋_GB2312" w:hint="eastAsia"/>
          <w:bCs/>
          <w:caps/>
          <w:sz w:val="32"/>
          <w:szCs w:val="32"/>
        </w:rPr>
        <w:t>万辆，增长</w:t>
      </w:r>
      <w:r w:rsidRPr="00F212E7">
        <w:rPr>
          <w:rFonts w:eastAsia="仿宋_GB2312" w:hint="eastAsia"/>
          <w:bCs/>
          <w:caps/>
          <w:sz w:val="32"/>
          <w:szCs w:val="32"/>
        </w:rPr>
        <w:t>4.9%</w:t>
      </w:r>
      <w:r w:rsidRPr="00F212E7">
        <w:rPr>
          <w:rFonts w:eastAsia="仿宋_GB2312" w:hint="eastAsia"/>
          <w:bCs/>
          <w:caps/>
          <w:sz w:val="32"/>
          <w:szCs w:val="32"/>
        </w:rPr>
        <w:t>，新能源汽车拥有量为</w:t>
      </w:r>
      <w:r w:rsidRPr="00F212E7">
        <w:rPr>
          <w:rFonts w:eastAsia="仿宋_GB2312" w:hint="eastAsia"/>
          <w:bCs/>
          <w:caps/>
          <w:sz w:val="32"/>
          <w:szCs w:val="32"/>
        </w:rPr>
        <w:t>12.91</w:t>
      </w:r>
      <w:r w:rsidRPr="00F212E7">
        <w:rPr>
          <w:rFonts w:eastAsia="仿宋_GB2312" w:hint="eastAsia"/>
          <w:bCs/>
          <w:caps/>
          <w:sz w:val="32"/>
          <w:szCs w:val="32"/>
        </w:rPr>
        <w:t>万辆，增长</w:t>
      </w:r>
      <w:r w:rsidRPr="00F212E7">
        <w:rPr>
          <w:rFonts w:eastAsia="仿宋_GB2312" w:hint="eastAsia"/>
          <w:bCs/>
          <w:caps/>
          <w:sz w:val="32"/>
          <w:szCs w:val="32"/>
        </w:rPr>
        <w:t>45.4%</w:t>
      </w:r>
      <w:r w:rsidRPr="00F212E7">
        <w:rPr>
          <w:rFonts w:eastAsia="仿宋_GB2312" w:hint="eastAsia"/>
          <w:bCs/>
          <w:caps/>
          <w:sz w:val="32"/>
          <w:szCs w:val="32"/>
        </w:rPr>
        <w:t>。</w:t>
      </w:r>
    </w:p>
    <w:p w:rsidR="0039368A" w:rsidRDefault="0039368A">
      <w:pPr>
        <w:widowControl/>
        <w:jc w:val="left"/>
        <w:rPr>
          <w:rFonts w:eastAsia="仿宋_GB2312"/>
          <w:kern w:val="0"/>
          <w:sz w:val="23"/>
          <w:szCs w:val="23"/>
        </w:rPr>
      </w:pPr>
      <w:r>
        <w:rPr>
          <w:rFonts w:eastAsia="仿宋_GB2312"/>
          <w:kern w:val="0"/>
          <w:sz w:val="23"/>
          <w:szCs w:val="23"/>
        </w:rPr>
        <w:br w:type="page"/>
      </w:r>
    </w:p>
    <w:p w:rsidR="00F014A3" w:rsidRPr="00F212E7" w:rsidRDefault="00CD538F">
      <w:pPr>
        <w:jc w:val="center"/>
        <w:rPr>
          <w:rFonts w:eastAsia="仿宋_GB2312"/>
          <w:sz w:val="32"/>
        </w:rPr>
      </w:pPr>
      <w:r w:rsidRPr="00F212E7">
        <w:rPr>
          <w:rFonts w:eastAsia="仿宋_GB2312"/>
          <w:kern w:val="0"/>
          <w:sz w:val="23"/>
          <w:szCs w:val="23"/>
        </w:rPr>
        <w:lastRenderedPageBreak/>
        <w:t>图</w:t>
      </w:r>
      <w:r w:rsidRPr="00F212E7">
        <w:rPr>
          <w:rFonts w:eastAsia="仿宋_GB2312" w:hint="eastAsia"/>
          <w:kern w:val="0"/>
          <w:sz w:val="23"/>
          <w:szCs w:val="23"/>
        </w:rPr>
        <w:t xml:space="preserve">8  </w:t>
      </w:r>
      <w:r w:rsidRPr="00F212E7">
        <w:rPr>
          <w:rFonts w:eastAsia="仿宋_GB2312"/>
          <w:kern w:val="0"/>
          <w:sz w:val="23"/>
          <w:szCs w:val="23"/>
        </w:rPr>
        <w:t>20</w:t>
      </w:r>
      <w:r w:rsidRPr="00F212E7">
        <w:rPr>
          <w:rFonts w:eastAsia="仿宋_GB2312" w:hint="eastAsia"/>
          <w:kern w:val="0"/>
          <w:sz w:val="23"/>
          <w:szCs w:val="23"/>
        </w:rPr>
        <w:t>2</w:t>
      </w:r>
      <w:r w:rsidR="00B33B5B" w:rsidRPr="00F212E7">
        <w:rPr>
          <w:rFonts w:eastAsia="仿宋_GB2312" w:hint="eastAsia"/>
          <w:kern w:val="0"/>
          <w:sz w:val="23"/>
          <w:szCs w:val="23"/>
        </w:rPr>
        <w:t>1</w:t>
      </w:r>
      <w:r w:rsidRPr="00F212E7">
        <w:rPr>
          <w:rFonts w:eastAsia="仿宋_GB2312"/>
          <w:kern w:val="0"/>
          <w:sz w:val="23"/>
          <w:szCs w:val="23"/>
        </w:rPr>
        <w:t>-202</w:t>
      </w:r>
      <w:r w:rsidR="00B33B5B" w:rsidRPr="00F212E7">
        <w:rPr>
          <w:rFonts w:eastAsia="仿宋_GB2312" w:hint="eastAsia"/>
          <w:kern w:val="0"/>
          <w:sz w:val="23"/>
          <w:szCs w:val="23"/>
        </w:rPr>
        <w:t>5</w:t>
      </w:r>
      <w:r w:rsidRPr="00F212E7">
        <w:rPr>
          <w:rFonts w:eastAsia="仿宋_GB2312"/>
          <w:kern w:val="0"/>
          <w:sz w:val="23"/>
          <w:szCs w:val="23"/>
        </w:rPr>
        <w:t>年汽车拥有量与增长速度</w:t>
      </w:r>
    </w:p>
    <w:p w:rsidR="00F014A3" w:rsidRPr="00F212E7" w:rsidRDefault="00B33B5B">
      <w:pPr>
        <w:ind w:firstLineChars="200" w:firstLine="420"/>
        <w:jc w:val="center"/>
      </w:pPr>
      <w:r w:rsidRPr="00F212E7">
        <w:rPr>
          <w:noProof/>
        </w:rPr>
        <w:drawing>
          <wp:inline distT="0" distB="0" distL="0" distR="0" wp14:anchorId="03B44B23" wp14:editId="36B335E9">
            <wp:extent cx="4848225" cy="2743200"/>
            <wp:effectExtent l="0" t="0" r="9525" b="19050"/>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EC229D" w:rsidRPr="00F212E7" w:rsidRDefault="00EC229D" w:rsidP="00EC229D">
      <w:pPr>
        <w:spacing w:line="560" w:lineRule="exact"/>
        <w:ind w:firstLineChars="200" w:firstLine="640"/>
        <w:outlineLvl w:val="0"/>
        <w:rPr>
          <w:rFonts w:eastAsia="仿宋_GB2312"/>
          <w:bCs/>
          <w:caps/>
          <w:sz w:val="32"/>
          <w:szCs w:val="32"/>
        </w:rPr>
      </w:pPr>
      <w:bookmarkStart w:id="55" w:name="OLE_LINK73"/>
      <w:bookmarkStart w:id="56" w:name="OLE_LINK74"/>
      <w:r w:rsidRPr="00F212E7">
        <w:rPr>
          <w:rFonts w:eastAsia="仿宋_GB2312" w:hint="eastAsia"/>
          <w:bCs/>
          <w:caps/>
          <w:sz w:val="32"/>
          <w:szCs w:val="32"/>
        </w:rPr>
        <w:t>浙江中欧班列（义新欧）</w:t>
      </w:r>
      <w:r w:rsidRPr="00F212E7">
        <w:rPr>
          <w:rFonts w:eastAsia="仿宋_GB2312" w:hint="eastAsia"/>
          <w:bCs/>
          <w:caps/>
          <w:sz w:val="32"/>
          <w:szCs w:val="32"/>
        </w:rPr>
        <w:t>2025</w:t>
      </w:r>
      <w:r w:rsidRPr="00F212E7">
        <w:rPr>
          <w:rFonts w:eastAsia="仿宋_GB2312" w:hint="eastAsia"/>
          <w:bCs/>
          <w:caps/>
          <w:sz w:val="32"/>
          <w:szCs w:val="32"/>
        </w:rPr>
        <w:t>年开行</w:t>
      </w:r>
      <w:r w:rsidRPr="00F212E7">
        <w:rPr>
          <w:rFonts w:eastAsia="仿宋_GB2312" w:hint="eastAsia"/>
          <w:bCs/>
          <w:caps/>
          <w:sz w:val="32"/>
          <w:szCs w:val="32"/>
        </w:rPr>
        <w:t>3005</w:t>
      </w:r>
      <w:r w:rsidRPr="00F212E7">
        <w:rPr>
          <w:rFonts w:eastAsia="仿宋_GB2312" w:hint="eastAsia"/>
          <w:bCs/>
          <w:caps/>
          <w:sz w:val="32"/>
          <w:szCs w:val="32"/>
        </w:rPr>
        <w:t>列，比上年增长</w:t>
      </w:r>
      <w:r w:rsidRPr="00F212E7">
        <w:rPr>
          <w:rFonts w:eastAsia="仿宋_GB2312" w:hint="eastAsia"/>
          <w:bCs/>
          <w:caps/>
          <w:sz w:val="32"/>
          <w:szCs w:val="32"/>
        </w:rPr>
        <w:t>14.7%</w:t>
      </w:r>
      <w:r w:rsidRPr="00F212E7">
        <w:rPr>
          <w:rFonts w:eastAsia="仿宋_GB2312" w:hint="eastAsia"/>
          <w:bCs/>
          <w:caps/>
          <w:sz w:val="32"/>
          <w:szCs w:val="32"/>
        </w:rPr>
        <w:t>。金华（义乌）成为全国</w:t>
      </w:r>
      <w:r w:rsidRPr="00F212E7">
        <w:rPr>
          <w:rFonts w:eastAsia="仿宋_GB2312" w:hint="eastAsia"/>
          <w:bCs/>
          <w:caps/>
          <w:sz w:val="32"/>
          <w:szCs w:val="32"/>
        </w:rPr>
        <w:t>14</w:t>
      </w:r>
      <w:r w:rsidRPr="00F212E7">
        <w:rPr>
          <w:rFonts w:eastAsia="仿宋_GB2312" w:hint="eastAsia"/>
          <w:bCs/>
          <w:caps/>
          <w:sz w:val="32"/>
          <w:szCs w:val="32"/>
        </w:rPr>
        <w:t>个中欧班列集结中心之一。海铁联运班列发运重箱</w:t>
      </w:r>
      <w:r w:rsidRPr="00F212E7">
        <w:rPr>
          <w:rFonts w:eastAsia="仿宋_GB2312" w:hint="eastAsia"/>
          <w:bCs/>
          <w:caps/>
          <w:sz w:val="32"/>
          <w:szCs w:val="32"/>
        </w:rPr>
        <w:t>12.86</w:t>
      </w:r>
      <w:r w:rsidRPr="00F212E7">
        <w:rPr>
          <w:rFonts w:eastAsia="仿宋_GB2312" w:hint="eastAsia"/>
          <w:bCs/>
          <w:caps/>
          <w:sz w:val="32"/>
          <w:szCs w:val="32"/>
        </w:rPr>
        <w:t>万标箱，增长</w:t>
      </w:r>
      <w:r w:rsidRPr="00F212E7">
        <w:rPr>
          <w:rFonts w:eastAsia="仿宋_GB2312" w:hint="eastAsia"/>
          <w:bCs/>
          <w:caps/>
          <w:sz w:val="32"/>
          <w:szCs w:val="32"/>
        </w:rPr>
        <w:t>39.9%</w:t>
      </w:r>
      <w:r w:rsidRPr="00F212E7">
        <w:rPr>
          <w:rFonts w:eastAsia="仿宋_GB2312" w:hint="eastAsia"/>
          <w:bCs/>
          <w:caps/>
          <w:sz w:val="32"/>
          <w:szCs w:val="32"/>
        </w:rPr>
        <w:t>。“义乌—宁波舟山港”集装箱海铁联运线路累计业务量突破</w:t>
      </w:r>
      <w:r w:rsidRPr="00F212E7">
        <w:rPr>
          <w:rFonts w:eastAsia="仿宋_GB2312" w:hint="eastAsia"/>
          <w:bCs/>
          <w:caps/>
          <w:sz w:val="32"/>
          <w:szCs w:val="32"/>
        </w:rPr>
        <w:t>100</w:t>
      </w:r>
      <w:r w:rsidRPr="00F212E7">
        <w:rPr>
          <w:rFonts w:eastAsia="仿宋_GB2312" w:hint="eastAsia"/>
          <w:bCs/>
          <w:caps/>
          <w:sz w:val="32"/>
          <w:szCs w:val="32"/>
        </w:rPr>
        <w:t>万标准箱，成为国内首条业务量达成百万标箱的海铁联运线路。</w:t>
      </w:r>
      <w:bookmarkEnd w:id="55"/>
      <w:bookmarkEnd w:id="56"/>
    </w:p>
    <w:p w:rsidR="00496156" w:rsidRPr="00F212E7" w:rsidRDefault="00496156" w:rsidP="00496156">
      <w:pPr>
        <w:spacing w:line="560" w:lineRule="exact"/>
        <w:ind w:firstLineChars="200" w:firstLine="640"/>
        <w:outlineLvl w:val="0"/>
        <w:rPr>
          <w:rFonts w:eastAsia="仿宋_GB2312"/>
          <w:bCs/>
          <w:caps/>
          <w:sz w:val="32"/>
          <w:szCs w:val="32"/>
        </w:rPr>
      </w:pPr>
      <w:bookmarkStart w:id="57" w:name="OLE_LINK3"/>
      <w:r w:rsidRPr="00F212E7">
        <w:rPr>
          <w:rFonts w:eastAsia="仿宋_GB2312" w:hint="eastAsia"/>
          <w:bCs/>
          <w:caps/>
          <w:sz w:val="32"/>
          <w:szCs w:val="32"/>
        </w:rPr>
        <w:t>全年快递服务企业业务量累计完成</w:t>
      </w:r>
      <w:r w:rsidRPr="00F212E7">
        <w:rPr>
          <w:rFonts w:eastAsia="仿宋_GB2312" w:hint="eastAsia"/>
          <w:bCs/>
          <w:caps/>
          <w:sz w:val="32"/>
          <w:szCs w:val="32"/>
        </w:rPr>
        <w:t>137.7</w:t>
      </w:r>
      <w:r w:rsidRPr="00F212E7">
        <w:rPr>
          <w:rFonts w:eastAsia="仿宋_GB2312" w:hint="eastAsia"/>
          <w:bCs/>
          <w:caps/>
          <w:sz w:val="32"/>
          <w:szCs w:val="32"/>
        </w:rPr>
        <w:t>亿件，比上年增长</w:t>
      </w:r>
      <w:r w:rsidRPr="00F212E7">
        <w:rPr>
          <w:rFonts w:eastAsia="仿宋_GB2312" w:hint="eastAsia"/>
          <w:bCs/>
          <w:caps/>
          <w:sz w:val="32"/>
          <w:szCs w:val="32"/>
        </w:rPr>
        <w:t>9.0%</w:t>
      </w:r>
      <w:r w:rsidRPr="00F212E7">
        <w:rPr>
          <w:rFonts w:eastAsia="仿宋_GB2312" w:hint="eastAsia"/>
          <w:bCs/>
          <w:caps/>
          <w:sz w:val="32"/>
          <w:szCs w:val="32"/>
        </w:rPr>
        <w:t>，全省排名第一，全国城市排名第二，位列广州市之后；业务收入累计完成</w:t>
      </w:r>
      <w:r w:rsidRPr="00F212E7">
        <w:rPr>
          <w:rFonts w:eastAsia="仿宋_GB2312" w:hint="eastAsia"/>
          <w:bCs/>
          <w:caps/>
          <w:sz w:val="32"/>
          <w:szCs w:val="32"/>
        </w:rPr>
        <w:t>324.9</w:t>
      </w:r>
      <w:r w:rsidRPr="00F212E7">
        <w:rPr>
          <w:rFonts w:eastAsia="仿宋_GB2312" w:hint="eastAsia"/>
          <w:bCs/>
          <w:caps/>
          <w:sz w:val="32"/>
          <w:szCs w:val="32"/>
        </w:rPr>
        <w:t>亿元，增长</w:t>
      </w:r>
      <w:r w:rsidRPr="00F212E7">
        <w:rPr>
          <w:rFonts w:eastAsia="仿宋_GB2312" w:hint="eastAsia"/>
          <w:bCs/>
          <w:caps/>
          <w:sz w:val="32"/>
          <w:szCs w:val="32"/>
        </w:rPr>
        <w:t>7.2%</w:t>
      </w:r>
      <w:r w:rsidRPr="00F212E7">
        <w:rPr>
          <w:rFonts w:eastAsia="仿宋_GB2312" w:hint="eastAsia"/>
          <w:bCs/>
          <w:caps/>
          <w:sz w:val="32"/>
          <w:szCs w:val="32"/>
        </w:rPr>
        <w:t>。其中同城业务量累计完成</w:t>
      </w:r>
      <w:r w:rsidRPr="00F212E7">
        <w:rPr>
          <w:rFonts w:eastAsia="仿宋_GB2312" w:hint="eastAsia"/>
          <w:bCs/>
          <w:caps/>
          <w:sz w:val="32"/>
          <w:szCs w:val="32"/>
        </w:rPr>
        <w:t>4.9</w:t>
      </w:r>
      <w:r w:rsidRPr="00F212E7">
        <w:rPr>
          <w:rFonts w:eastAsia="仿宋_GB2312" w:hint="eastAsia"/>
          <w:bCs/>
          <w:caps/>
          <w:sz w:val="32"/>
          <w:szCs w:val="32"/>
        </w:rPr>
        <w:t>亿件，增长</w:t>
      </w:r>
      <w:r w:rsidRPr="00F212E7">
        <w:rPr>
          <w:rFonts w:eastAsia="仿宋_GB2312" w:hint="eastAsia"/>
          <w:bCs/>
          <w:caps/>
          <w:sz w:val="32"/>
          <w:szCs w:val="32"/>
        </w:rPr>
        <w:t>16.1%</w:t>
      </w:r>
      <w:r w:rsidRPr="00F212E7">
        <w:rPr>
          <w:rFonts w:eastAsia="仿宋_GB2312" w:hint="eastAsia"/>
          <w:bCs/>
          <w:caps/>
          <w:sz w:val="32"/>
          <w:szCs w:val="32"/>
        </w:rPr>
        <w:t>；异地业务量累计完成</w:t>
      </w:r>
      <w:r w:rsidRPr="00F212E7">
        <w:rPr>
          <w:rFonts w:eastAsia="仿宋_GB2312" w:hint="eastAsia"/>
          <w:bCs/>
          <w:caps/>
          <w:sz w:val="32"/>
          <w:szCs w:val="32"/>
        </w:rPr>
        <w:t>131.2</w:t>
      </w:r>
      <w:r w:rsidRPr="00F212E7">
        <w:rPr>
          <w:rFonts w:eastAsia="仿宋_GB2312" w:hint="eastAsia"/>
          <w:bCs/>
          <w:caps/>
          <w:sz w:val="32"/>
          <w:szCs w:val="32"/>
        </w:rPr>
        <w:t>亿件，增长</w:t>
      </w:r>
      <w:r w:rsidRPr="00F212E7">
        <w:rPr>
          <w:rFonts w:eastAsia="仿宋_GB2312" w:hint="eastAsia"/>
          <w:bCs/>
          <w:caps/>
          <w:sz w:val="32"/>
          <w:szCs w:val="32"/>
        </w:rPr>
        <w:t>8.7%</w:t>
      </w:r>
      <w:r w:rsidRPr="00F212E7">
        <w:rPr>
          <w:rFonts w:eastAsia="仿宋_GB2312" w:hint="eastAsia"/>
          <w:bCs/>
          <w:caps/>
          <w:sz w:val="32"/>
          <w:szCs w:val="32"/>
        </w:rPr>
        <w:t>；国际及港澳台业务量累计完成</w:t>
      </w:r>
      <w:r w:rsidRPr="00F212E7">
        <w:rPr>
          <w:rFonts w:eastAsia="仿宋_GB2312" w:hint="eastAsia"/>
          <w:bCs/>
          <w:caps/>
          <w:sz w:val="32"/>
          <w:szCs w:val="32"/>
        </w:rPr>
        <w:t>1.6</w:t>
      </w:r>
      <w:r w:rsidRPr="00F212E7">
        <w:rPr>
          <w:rFonts w:eastAsia="仿宋_GB2312" w:hint="eastAsia"/>
          <w:bCs/>
          <w:caps/>
          <w:sz w:val="32"/>
          <w:szCs w:val="32"/>
        </w:rPr>
        <w:t>亿件，增长</w:t>
      </w:r>
      <w:r w:rsidRPr="00F212E7">
        <w:rPr>
          <w:rFonts w:eastAsia="仿宋_GB2312" w:hint="eastAsia"/>
          <w:bCs/>
          <w:caps/>
          <w:sz w:val="32"/>
          <w:szCs w:val="32"/>
        </w:rPr>
        <w:t>116.5%</w:t>
      </w:r>
      <w:r w:rsidRPr="00F212E7">
        <w:rPr>
          <w:rFonts w:eastAsia="仿宋_GB2312" w:hint="eastAsia"/>
          <w:bCs/>
          <w:caps/>
          <w:sz w:val="32"/>
          <w:szCs w:val="32"/>
        </w:rPr>
        <w:t>。</w:t>
      </w:r>
      <w:bookmarkEnd w:id="57"/>
    </w:p>
    <w:p w:rsidR="00496156" w:rsidRPr="00F212E7" w:rsidRDefault="00B46662" w:rsidP="00B46662">
      <w:pPr>
        <w:spacing w:line="560" w:lineRule="exact"/>
        <w:ind w:firstLineChars="200" w:firstLine="640"/>
        <w:outlineLvl w:val="0"/>
        <w:rPr>
          <w:rFonts w:eastAsia="仿宋_GB2312"/>
          <w:bCs/>
          <w:caps/>
          <w:sz w:val="32"/>
          <w:szCs w:val="32"/>
        </w:rPr>
      </w:pPr>
      <w:r w:rsidRPr="00F212E7">
        <w:rPr>
          <w:rFonts w:eastAsia="仿宋_GB2312" w:hint="eastAsia"/>
          <w:bCs/>
          <w:caps/>
          <w:sz w:val="32"/>
          <w:szCs w:val="32"/>
        </w:rPr>
        <w:t>成功入选全省入境旅游创新发展试点，佛堂古镇老街获评省级旅游休闲街区。全年开展“全球吃货节”等“义乌好好逛”系列活动</w:t>
      </w:r>
      <w:r w:rsidRPr="00F212E7">
        <w:rPr>
          <w:rFonts w:eastAsia="仿宋_GB2312" w:hint="eastAsia"/>
          <w:bCs/>
          <w:caps/>
          <w:sz w:val="32"/>
          <w:szCs w:val="32"/>
        </w:rPr>
        <w:t>209</w:t>
      </w:r>
      <w:r w:rsidRPr="00F212E7">
        <w:rPr>
          <w:rFonts w:eastAsia="仿宋_GB2312" w:hint="eastAsia"/>
          <w:bCs/>
          <w:caps/>
          <w:sz w:val="32"/>
          <w:szCs w:val="32"/>
        </w:rPr>
        <w:t>场，全网话题量超</w:t>
      </w:r>
      <w:r w:rsidRPr="00F212E7">
        <w:rPr>
          <w:rFonts w:eastAsia="仿宋_GB2312" w:hint="eastAsia"/>
          <w:bCs/>
          <w:caps/>
          <w:sz w:val="32"/>
          <w:szCs w:val="32"/>
        </w:rPr>
        <w:t>10</w:t>
      </w:r>
      <w:r w:rsidRPr="00F212E7">
        <w:rPr>
          <w:rFonts w:eastAsia="仿宋_GB2312" w:hint="eastAsia"/>
          <w:bCs/>
          <w:caps/>
          <w:sz w:val="32"/>
          <w:szCs w:val="32"/>
        </w:rPr>
        <w:t>亿，义乌位列</w:t>
      </w:r>
      <w:r w:rsidRPr="00F212E7">
        <w:rPr>
          <w:rFonts w:eastAsia="仿宋_GB2312" w:hint="eastAsia"/>
          <w:bCs/>
          <w:caps/>
          <w:sz w:val="32"/>
          <w:szCs w:val="32"/>
        </w:rPr>
        <w:t>2025</w:t>
      </w:r>
      <w:r w:rsidRPr="00F212E7">
        <w:rPr>
          <w:rFonts w:eastAsia="仿宋_GB2312" w:hint="eastAsia"/>
          <w:bCs/>
          <w:caps/>
          <w:sz w:val="32"/>
          <w:szCs w:val="32"/>
        </w:rPr>
        <w:t>年全国县级市传播热度指数榜首。</w:t>
      </w:r>
      <w:r w:rsidR="003D7180" w:rsidRPr="00F212E7">
        <w:rPr>
          <w:rFonts w:eastAsia="仿宋_GB2312" w:hint="eastAsia"/>
          <w:bCs/>
          <w:caps/>
          <w:sz w:val="32"/>
          <w:szCs w:val="32"/>
        </w:rPr>
        <w:t>全市共接待全域游客</w:t>
      </w:r>
      <w:r w:rsidR="003D7180" w:rsidRPr="00F212E7">
        <w:rPr>
          <w:rFonts w:eastAsia="仿宋_GB2312" w:hint="eastAsia"/>
          <w:bCs/>
          <w:caps/>
          <w:sz w:val="32"/>
          <w:szCs w:val="32"/>
        </w:rPr>
        <w:lastRenderedPageBreak/>
        <w:t>3652.9</w:t>
      </w:r>
      <w:r w:rsidR="003D7180" w:rsidRPr="00F212E7">
        <w:rPr>
          <w:rFonts w:eastAsia="仿宋_GB2312" w:hint="eastAsia"/>
          <w:bCs/>
          <w:caps/>
          <w:sz w:val="32"/>
          <w:szCs w:val="32"/>
        </w:rPr>
        <w:t>万人次，比上年增长</w:t>
      </w:r>
      <w:r w:rsidR="003D7180" w:rsidRPr="00F212E7">
        <w:rPr>
          <w:rFonts w:eastAsia="仿宋_GB2312" w:hint="eastAsia"/>
          <w:bCs/>
          <w:caps/>
          <w:sz w:val="32"/>
          <w:szCs w:val="32"/>
        </w:rPr>
        <w:t>10.7%</w:t>
      </w:r>
      <w:r w:rsidR="003D7180" w:rsidRPr="00F212E7">
        <w:rPr>
          <w:rFonts w:eastAsia="仿宋_GB2312" w:hint="eastAsia"/>
          <w:bCs/>
          <w:caps/>
          <w:sz w:val="32"/>
          <w:szCs w:val="32"/>
        </w:rPr>
        <w:t>，其中接待过夜游客</w:t>
      </w:r>
      <w:r w:rsidR="003D7180" w:rsidRPr="00F212E7">
        <w:rPr>
          <w:rFonts w:eastAsia="仿宋_GB2312" w:hint="eastAsia"/>
          <w:bCs/>
          <w:caps/>
          <w:sz w:val="32"/>
          <w:szCs w:val="32"/>
        </w:rPr>
        <w:t>1567.6</w:t>
      </w:r>
      <w:r w:rsidR="003D7180" w:rsidRPr="00F212E7">
        <w:rPr>
          <w:rFonts w:eastAsia="仿宋_GB2312" w:hint="eastAsia"/>
          <w:bCs/>
          <w:caps/>
          <w:sz w:val="32"/>
          <w:szCs w:val="32"/>
        </w:rPr>
        <w:t>万人次，增长</w:t>
      </w:r>
      <w:r w:rsidR="003D7180" w:rsidRPr="00F212E7">
        <w:rPr>
          <w:rFonts w:eastAsia="仿宋_GB2312" w:hint="eastAsia"/>
          <w:bCs/>
          <w:caps/>
          <w:sz w:val="32"/>
          <w:szCs w:val="32"/>
        </w:rPr>
        <w:t>12.9%</w:t>
      </w:r>
      <w:r w:rsidR="003D7180" w:rsidRPr="00F212E7">
        <w:rPr>
          <w:rFonts w:eastAsia="仿宋_GB2312" w:hint="eastAsia"/>
          <w:bCs/>
          <w:caps/>
          <w:sz w:val="32"/>
          <w:szCs w:val="32"/>
        </w:rPr>
        <w:t>；接待入境商旅</w:t>
      </w:r>
      <w:r w:rsidR="003D7180" w:rsidRPr="00F212E7">
        <w:rPr>
          <w:rFonts w:eastAsia="仿宋_GB2312" w:hint="eastAsia"/>
          <w:bCs/>
          <w:caps/>
          <w:sz w:val="32"/>
          <w:szCs w:val="32"/>
        </w:rPr>
        <w:t>68.1</w:t>
      </w:r>
      <w:r w:rsidR="003D7180" w:rsidRPr="00F212E7">
        <w:rPr>
          <w:rFonts w:eastAsia="仿宋_GB2312" w:hint="eastAsia"/>
          <w:bCs/>
          <w:caps/>
          <w:sz w:val="32"/>
          <w:szCs w:val="32"/>
        </w:rPr>
        <w:t>万人次，增长</w:t>
      </w:r>
      <w:r w:rsidR="003D7180" w:rsidRPr="00F212E7">
        <w:rPr>
          <w:rFonts w:eastAsia="仿宋_GB2312" w:hint="eastAsia"/>
          <w:bCs/>
          <w:caps/>
          <w:sz w:val="32"/>
          <w:szCs w:val="32"/>
        </w:rPr>
        <w:t>19.7%</w:t>
      </w:r>
      <w:r w:rsidR="003D7180" w:rsidRPr="00F212E7">
        <w:rPr>
          <w:rFonts w:eastAsia="仿宋_GB2312" w:hint="eastAsia"/>
          <w:bCs/>
          <w:caps/>
          <w:sz w:val="32"/>
          <w:szCs w:val="32"/>
        </w:rPr>
        <w:t>；实现全域旅游综合收入</w:t>
      </w:r>
      <w:r w:rsidR="003D7180" w:rsidRPr="00F212E7">
        <w:rPr>
          <w:rFonts w:eastAsia="仿宋_GB2312" w:hint="eastAsia"/>
          <w:bCs/>
          <w:caps/>
          <w:sz w:val="32"/>
          <w:szCs w:val="32"/>
        </w:rPr>
        <w:t>330.37</w:t>
      </w:r>
      <w:r w:rsidR="003D7180" w:rsidRPr="00F212E7">
        <w:rPr>
          <w:rFonts w:eastAsia="仿宋_GB2312" w:hint="eastAsia"/>
          <w:bCs/>
          <w:caps/>
          <w:sz w:val="32"/>
          <w:szCs w:val="32"/>
        </w:rPr>
        <w:t>亿元，增长</w:t>
      </w:r>
      <w:r w:rsidR="003D7180" w:rsidRPr="00F212E7">
        <w:rPr>
          <w:rFonts w:eastAsia="仿宋_GB2312" w:hint="eastAsia"/>
          <w:bCs/>
          <w:caps/>
          <w:sz w:val="32"/>
          <w:szCs w:val="32"/>
        </w:rPr>
        <w:t>11.7%</w:t>
      </w:r>
      <w:r w:rsidR="003D7180" w:rsidRPr="00F212E7">
        <w:rPr>
          <w:rFonts w:eastAsia="仿宋_GB2312" w:hint="eastAsia"/>
          <w:bCs/>
          <w:caps/>
          <w:sz w:val="32"/>
          <w:szCs w:val="32"/>
        </w:rPr>
        <w:t>。</w:t>
      </w:r>
    </w:p>
    <w:p w:rsidR="00F014A3" w:rsidRPr="00F212E7" w:rsidRDefault="00CD538F" w:rsidP="00FB4CFD">
      <w:pPr>
        <w:spacing w:line="560" w:lineRule="exact"/>
        <w:ind w:firstLineChars="200" w:firstLine="723"/>
        <w:jc w:val="left"/>
        <w:outlineLvl w:val="0"/>
        <w:rPr>
          <w:rFonts w:eastAsia="仿宋_GB2312"/>
          <w:b/>
          <w:sz w:val="36"/>
        </w:rPr>
      </w:pPr>
      <w:r w:rsidRPr="00F212E7">
        <w:rPr>
          <w:rFonts w:eastAsia="仿宋_GB2312"/>
          <w:b/>
          <w:sz w:val="36"/>
        </w:rPr>
        <w:t>八、财政和金融</w:t>
      </w:r>
    </w:p>
    <w:p w:rsidR="00730D23" w:rsidRPr="00F212E7" w:rsidRDefault="00730D23" w:rsidP="00330CDE">
      <w:pPr>
        <w:spacing w:line="560" w:lineRule="exact"/>
        <w:ind w:firstLineChars="200" w:firstLine="640"/>
        <w:rPr>
          <w:rFonts w:eastAsia="仿宋_GB2312"/>
          <w:bCs/>
          <w:caps/>
          <w:sz w:val="32"/>
          <w:szCs w:val="32"/>
        </w:rPr>
      </w:pPr>
      <w:r w:rsidRPr="00F212E7">
        <w:rPr>
          <w:rFonts w:eastAsia="仿宋_GB2312" w:hint="eastAsia"/>
          <w:bCs/>
          <w:caps/>
          <w:sz w:val="32"/>
          <w:szCs w:val="32"/>
        </w:rPr>
        <w:t>全年</w:t>
      </w:r>
      <w:bookmarkStart w:id="58" w:name="OLE_LINK39"/>
      <w:r w:rsidRPr="00F212E7">
        <w:rPr>
          <w:rFonts w:eastAsia="仿宋_GB2312" w:hint="eastAsia"/>
          <w:bCs/>
          <w:caps/>
          <w:sz w:val="32"/>
          <w:szCs w:val="32"/>
        </w:rPr>
        <w:t>完成财政总收入</w:t>
      </w:r>
      <w:r w:rsidRPr="00F212E7">
        <w:rPr>
          <w:rFonts w:eastAsia="仿宋_GB2312" w:hint="eastAsia"/>
          <w:bCs/>
          <w:caps/>
          <w:sz w:val="32"/>
          <w:szCs w:val="32"/>
        </w:rPr>
        <w:t>259.3</w:t>
      </w:r>
      <w:r w:rsidRPr="00F212E7">
        <w:rPr>
          <w:rFonts w:eastAsia="仿宋_GB2312" w:hint="eastAsia"/>
          <w:bCs/>
          <w:caps/>
          <w:sz w:val="32"/>
          <w:szCs w:val="32"/>
        </w:rPr>
        <w:t>亿元，比上年增长</w:t>
      </w:r>
      <w:r w:rsidRPr="00F212E7">
        <w:rPr>
          <w:rFonts w:eastAsia="仿宋_GB2312" w:hint="eastAsia"/>
          <w:bCs/>
          <w:caps/>
          <w:sz w:val="32"/>
          <w:szCs w:val="32"/>
        </w:rPr>
        <w:t>12.2%</w:t>
      </w:r>
      <w:r w:rsidRPr="00F212E7">
        <w:rPr>
          <w:rFonts w:eastAsia="仿宋_GB2312" w:hint="eastAsia"/>
          <w:bCs/>
          <w:caps/>
          <w:sz w:val="32"/>
          <w:szCs w:val="32"/>
        </w:rPr>
        <w:t>，完成一般公共预算收入</w:t>
      </w:r>
      <w:r w:rsidRPr="00F212E7">
        <w:rPr>
          <w:rFonts w:eastAsia="仿宋_GB2312" w:hint="eastAsia"/>
          <w:bCs/>
          <w:caps/>
          <w:sz w:val="32"/>
          <w:szCs w:val="32"/>
        </w:rPr>
        <w:t>159.5</w:t>
      </w:r>
      <w:r w:rsidRPr="00F212E7">
        <w:rPr>
          <w:rFonts w:eastAsia="仿宋_GB2312" w:hint="eastAsia"/>
          <w:bCs/>
          <w:caps/>
          <w:sz w:val="32"/>
          <w:szCs w:val="32"/>
        </w:rPr>
        <w:t>亿元，增长</w:t>
      </w:r>
      <w:r w:rsidRPr="00F212E7">
        <w:rPr>
          <w:rFonts w:eastAsia="仿宋_GB2312" w:hint="eastAsia"/>
          <w:bCs/>
          <w:caps/>
          <w:sz w:val="32"/>
          <w:szCs w:val="32"/>
        </w:rPr>
        <w:t>6.3%</w:t>
      </w:r>
      <w:r w:rsidRPr="00F212E7">
        <w:rPr>
          <w:rFonts w:eastAsia="仿宋_GB2312" w:hint="eastAsia"/>
          <w:bCs/>
          <w:caps/>
          <w:sz w:val="32"/>
          <w:szCs w:val="32"/>
        </w:rPr>
        <w:t>。一般公共预算收入中，税收收入</w:t>
      </w:r>
      <w:r w:rsidRPr="00F212E7">
        <w:rPr>
          <w:rFonts w:eastAsia="仿宋_GB2312" w:hint="eastAsia"/>
          <w:bCs/>
          <w:caps/>
          <w:sz w:val="32"/>
          <w:szCs w:val="32"/>
        </w:rPr>
        <w:t>140.9</w:t>
      </w:r>
      <w:r w:rsidRPr="00F212E7">
        <w:rPr>
          <w:rFonts w:eastAsia="仿宋_GB2312" w:hint="eastAsia"/>
          <w:bCs/>
          <w:caps/>
          <w:sz w:val="32"/>
          <w:szCs w:val="32"/>
        </w:rPr>
        <w:t>亿元，增长</w:t>
      </w:r>
      <w:r w:rsidRPr="00F212E7">
        <w:rPr>
          <w:rFonts w:eastAsia="仿宋_GB2312" w:hint="eastAsia"/>
          <w:bCs/>
          <w:caps/>
          <w:sz w:val="32"/>
          <w:szCs w:val="32"/>
        </w:rPr>
        <w:t>4.7%</w:t>
      </w:r>
      <w:r w:rsidRPr="00F212E7">
        <w:rPr>
          <w:rFonts w:eastAsia="仿宋_GB2312" w:hint="eastAsia"/>
          <w:bCs/>
          <w:caps/>
          <w:sz w:val="32"/>
          <w:szCs w:val="32"/>
        </w:rPr>
        <w:t>，占一般公共预算收入的</w:t>
      </w:r>
      <w:r w:rsidRPr="00F212E7">
        <w:rPr>
          <w:rFonts w:eastAsia="仿宋_GB2312" w:hint="eastAsia"/>
          <w:bCs/>
          <w:caps/>
          <w:sz w:val="32"/>
          <w:szCs w:val="32"/>
        </w:rPr>
        <w:t>88.3%</w:t>
      </w:r>
      <w:r w:rsidRPr="00F212E7">
        <w:rPr>
          <w:rFonts w:eastAsia="仿宋_GB2312" w:hint="eastAsia"/>
          <w:bCs/>
          <w:caps/>
          <w:sz w:val="32"/>
          <w:szCs w:val="32"/>
        </w:rPr>
        <w:t>。完成一般公共预算支出</w:t>
      </w:r>
      <w:r w:rsidRPr="00F212E7">
        <w:rPr>
          <w:rFonts w:eastAsia="仿宋_GB2312" w:hint="eastAsia"/>
          <w:bCs/>
          <w:caps/>
          <w:sz w:val="32"/>
          <w:szCs w:val="32"/>
        </w:rPr>
        <w:t>186.3</w:t>
      </w:r>
      <w:r w:rsidRPr="00F212E7">
        <w:rPr>
          <w:rFonts w:eastAsia="仿宋_GB2312" w:hint="eastAsia"/>
          <w:bCs/>
          <w:caps/>
          <w:sz w:val="32"/>
          <w:szCs w:val="32"/>
        </w:rPr>
        <w:t>亿元，增长</w:t>
      </w:r>
      <w:r w:rsidRPr="00F212E7">
        <w:rPr>
          <w:rFonts w:eastAsia="仿宋_GB2312" w:hint="eastAsia"/>
          <w:bCs/>
          <w:caps/>
          <w:sz w:val="32"/>
          <w:szCs w:val="32"/>
        </w:rPr>
        <w:t>9.6%</w:t>
      </w:r>
      <w:r w:rsidRPr="00F212E7">
        <w:rPr>
          <w:rFonts w:eastAsia="仿宋_GB2312" w:hint="eastAsia"/>
          <w:bCs/>
          <w:caps/>
          <w:sz w:val="32"/>
          <w:szCs w:val="32"/>
        </w:rPr>
        <w:t>，其中一般公共服务支出</w:t>
      </w:r>
      <w:r w:rsidRPr="00F212E7">
        <w:rPr>
          <w:rFonts w:eastAsia="仿宋_GB2312" w:hint="eastAsia"/>
          <w:bCs/>
          <w:caps/>
          <w:sz w:val="32"/>
          <w:szCs w:val="32"/>
        </w:rPr>
        <w:t>13.3</w:t>
      </w:r>
      <w:r w:rsidRPr="00F212E7">
        <w:rPr>
          <w:rFonts w:eastAsia="仿宋_GB2312" w:hint="eastAsia"/>
          <w:bCs/>
          <w:caps/>
          <w:sz w:val="32"/>
          <w:szCs w:val="32"/>
        </w:rPr>
        <w:t>亿元，下降</w:t>
      </w:r>
      <w:r w:rsidRPr="00F212E7">
        <w:rPr>
          <w:rFonts w:eastAsia="仿宋_GB2312" w:hint="eastAsia"/>
          <w:bCs/>
          <w:caps/>
          <w:sz w:val="32"/>
          <w:szCs w:val="32"/>
        </w:rPr>
        <w:t>9.3%</w:t>
      </w:r>
      <w:r w:rsidRPr="00F212E7">
        <w:rPr>
          <w:rFonts w:eastAsia="仿宋_GB2312" w:hint="eastAsia"/>
          <w:bCs/>
          <w:caps/>
          <w:sz w:val="32"/>
          <w:szCs w:val="32"/>
        </w:rPr>
        <w:t>，社会保障和就业支出</w:t>
      </w:r>
      <w:r w:rsidRPr="00F212E7">
        <w:rPr>
          <w:rFonts w:eastAsia="仿宋_GB2312" w:hint="eastAsia"/>
          <w:bCs/>
          <w:caps/>
          <w:sz w:val="32"/>
          <w:szCs w:val="32"/>
        </w:rPr>
        <w:t>15.0</w:t>
      </w:r>
      <w:r w:rsidRPr="00F212E7">
        <w:rPr>
          <w:rFonts w:eastAsia="仿宋_GB2312" w:hint="eastAsia"/>
          <w:bCs/>
          <w:caps/>
          <w:sz w:val="32"/>
          <w:szCs w:val="32"/>
        </w:rPr>
        <w:t>亿元，下降</w:t>
      </w:r>
      <w:r w:rsidRPr="00F212E7">
        <w:rPr>
          <w:rFonts w:eastAsia="仿宋_GB2312" w:hint="eastAsia"/>
          <w:bCs/>
          <w:caps/>
          <w:sz w:val="32"/>
          <w:szCs w:val="32"/>
        </w:rPr>
        <w:t>3.5%</w:t>
      </w:r>
      <w:r w:rsidRPr="00F212E7">
        <w:rPr>
          <w:rFonts w:eastAsia="仿宋_GB2312" w:hint="eastAsia"/>
          <w:bCs/>
          <w:caps/>
          <w:sz w:val="32"/>
          <w:szCs w:val="32"/>
        </w:rPr>
        <w:t>，教育支出</w:t>
      </w:r>
      <w:r w:rsidRPr="00F212E7">
        <w:rPr>
          <w:rFonts w:eastAsia="仿宋_GB2312" w:hint="eastAsia"/>
          <w:bCs/>
          <w:caps/>
          <w:sz w:val="32"/>
          <w:szCs w:val="32"/>
        </w:rPr>
        <w:t>44.3</w:t>
      </w:r>
      <w:r w:rsidRPr="00F212E7">
        <w:rPr>
          <w:rFonts w:eastAsia="仿宋_GB2312" w:hint="eastAsia"/>
          <w:bCs/>
          <w:caps/>
          <w:sz w:val="32"/>
          <w:szCs w:val="32"/>
        </w:rPr>
        <w:t>亿元，增长</w:t>
      </w:r>
      <w:r w:rsidRPr="00F212E7">
        <w:rPr>
          <w:rFonts w:eastAsia="仿宋_GB2312" w:hint="eastAsia"/>
          <w:bCs/>
          <w:caps/>
          <w:sz w:val="32"/>
          <w:szCs w:val="32"/>
        </w:rPr>
        <w:t>5.9%</w:t>
      </w:r>
      <w:r w:rsidRPr="00F212E7">
        <w:rPr>
          <w:rFonts w:eastAsia="仿宋_GB2312" w:hint="eastAsia"/>
          <w:bCs/>
          <w:caps/>
          <w:sz w:val="32"/>
          <w:szCs w:val="32"/>
        </w:rPr>
        <w:t>，农林水支出</w:t>
      </w:r>
      <w:r w:rsidRPr="00F212E7">
        <w:rPr>
          <w:rFonts w:eastAsia="仿宋_GB2312" w:hint="eastAsia"/>
          <w:bCs/>
          <w:caps/>
          <w:sz w:val="32"/>
          <w:szCs w:val="32"/>
        </w:rPr>
        <w:t>10.7</w:t>
      </w:r>
      <w:r w:rsidRPr="00F212E7">
        <w:rPr>
          <w:rFonts w:eastAsia="仿宋_GB2312" w:hint="eastAsia"/>
          <w:bCs/>
          <w:caps/>
          <w:sz w:val="32"/>
          <w:szCs w:val="32"/>
        </w:rPr>
        <w:t>亿元，增长</w:t>
      </w:r>
      <w:r w:rsidRPr="00F212E7">
        <w:rPr>
          <w:rFonts w:eastAsia="仿宋_GB2312" w:hint="eastAsia"/>
          <w:bCs/>
          <w:caps/>
          <w:sz w:val="32"/>
          <w:szCs w:val="32"/>
        </w:rPr>
        <w:t>8.6%</w:t>
      </w:r>
      <w:r w:rsidRPr="00F212E7">
        <w:rPr>
          <w:rFonts w:eastAsia="仿宋_GB2312" w:hint="eastAsia"/>
          <w:bCs/>
          <w:caps/>
          <w:sz w:val="32"/>
          <w:szCs w:val="32"/>
        </w:rPr>
        <w:t>。</w:t>
      </w:r>
      <w:bookmarkEnd w:id="58"/>
    </w:p>
    <w:p w:rsidR="00F014A3" w:rsidRPr="00F212E7" w:rsidRDefault="00CD538F">
      <w:pPr>
        <w:ind w:firstLineChars="200" w:firstLine="460"/>
        <w:jc w:val="center"/>
        <w:rPr>
          <w:rFonts w:eastAsia="仿宋_GB2312"/>
          <w:kern w:val="0"/>
          <w:sz w:val="23"/>
          <w:szCs w:val="23"/>
        </w:rPr>
      </w:pPr>
      <w:r w:rsidRPr="00F212E7">
        <w:rPr>
          <w:rFonts w:eastAsia="仿宋_GB2312"/>
          <w:kern w:val="0"/>
          <w:sz w:val="23"/>
          <w:szCs w:val="23"/>
        </w:rPr>
        <w:t>图</w:t>
      </w:r>
      <w:r w:rsidRPr="00F212E7">
        <w:rPr>
          <w:rFonts w:eastAsia="仿宋_GB2312" w:hint="eastAsia"/>
          <w:kern w:val="0"/>
          <w:sz w:val="23"/>
          <w:szCs w:val="23"/>
        </w:rPr>
        <w:t xml:space="preserve">9  </w:t>
      </w:r>
      <w:r w:rsidRPr="00F212E7">
        <w:rPr>
          <w:rFonts w:eastAsia="仿宋_GB2312"/>
          <w:kern w:val="0"/>
          <w:sz w:val="23"/>
          <w:szCs w:val="23"/>
        </w:rPr>
        <w:t>20</w:t>
      </w:r>
      <w:r w:rsidRPr="00F212E7">
        <w:rPr>
          <w:rFonts w:eastAsia="仿宋_GB2312" w:hint="eastAsia"/>
          <w:kern w:val="0"/>
          <w:sz w:val="23"/>
          <w:szCs w:val="23"/>
        </w:rPr>
        <w:t>2</w:t>
      </w:r>
      <w:r w:rsidR="00730D23" w:rsidRPr="00F212E7">
        <w:rPr>
          <w:rFonts w:eastAsia="仿宋_GB2312" w:hint="eastAsia"/>
          <w:kern w:val="0"/>
          <w:sz w:val="23"/>
          <w:szCs w:val="23"/>
        </w:rPr>
        <w:t>1</w:t>
      </w:r>
      <w:r w:rsidRPr="00F212E7">
        <w:rPr>
          <w:rFonts w:eastAsia="仿宋_GB2312"/>
          <w:kern w:val="0"/>
          <w:sz w:val="23"/>
          <w:szCs w:val="23"/>
        </w:rPr>
        <w:t>-202</w:t>
      </w:r>
      <w:r w:rsidR="00730D23" w:rsidRPr="00F212E7">
        <w:rPr>
          <w:rFonts w:eastAsia="仿宋_GB2312" w:hint="eastAsia"/>
          <w:kern w:val="0"/>
          <w:sz w:val="23"/>
          <w:szCs w:val="23"/>
        </w:rPr>
        <w:t>5</w:t>
      </w:r>
      <w:r w:rsidRPr="00F212E7">
        <w:rPr>
          <w:rFonts w:eastAsia="仿宋_GB2312"/>
          <w:kern w:val="0"/>
          <w:sz w:val="23"/>
          <w:szCs w:val="23"/>
        </w:rPr>
        <w:t>年财政总收入与增长速度</w:t>
      </w:r>
    </w:p>
    <w:p w:rsidR="00F014A3" w:rsidRPr="00F212E7" w:rsidRDefault="00730D23">
      <w:pPr>
        <w:ind w:firstLine="200"/>
        <w:jc w:val="center"/>
        <w:rPr>
          <w:rFonts w:eastAsia="仿宋_GB2312"/>
          <w:kern w:val="0"/>
          <w:sz w:val="23"/>
          <w:szCs w:val="23"/>
        </w:rPr>
      </w:pPr>
      <w:r w:rsidRPr="00F212E7">
        <w:rPr>
          <w:noProof/>
        </w:rPr>
        <w:drawing>
          <wp:inline distT="0" distB="0" distL="0" distR="0" wp14:anchorId="14280E54" wp14:editId="5FBA6875">
            <wp:extent cx="4572000" cy="2743200"/>
            <wp:effectExtent l="0" t="0" r="19050" b="19050"/>
            <wp:docPr id="22" name="图表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39368A" w:rsidRDefault="0039368A">
      <w:pPr>
        <w:widowControl/>
        <w:jc w:val="left"/>
        <w:rPr>
          <w:rFonts w:eastAsia="仿宋_GB2312"/>
          <w:kern w:val="0"/>
          <w:sz w:val="23"/>
          <w:szCs w:val="23"/>
        </w:rPr>
      </w:pPr>
      <w:r>
        <w:rPr>
          <w:rFonts w:eastAsia="仿宋_GB2312"/>
          <w:kern w:val="0"/>
          <w:sz w:val="23"/>
          <w:szCs w:val="23"/>
        </w:rPr>
        <w:br w:type="page"/>
      </w:r>
    </w:p>
    <w:p w:rsidR="00F014A3" w:rsidRPr="00F212E7" w:rsidRDefault="00CD538F">
      <w:pPr>
        <w:jc w:val="center"/>
        <w:rPr>
          <w:rFonts w:eastAsia="仿宋_GB2312"/>
          <w:kern w:val="0"/>
          <w:sz w:val="23"/>
          <w:szCs w:val="23"/>
        </w:rPr>
      </w:pPr>
      <w:r w:rsidRPr="00F212E7">
        <w:rPr>
          <w:rFonts w:eastAsia="仿宋_GB2312"/>
          <w:kern w:val="0"/>
          <w:sz w:val="23"/>
          <w:szCs w:val="23"/>
        </w:rPr>
        <w:lastRenderedPageBreak/>
        <w:t>图</w:t>
      </w:r>
      <w:r w:rsidRPr="00F212E7">
        <w:rPr>
          <w:rFonts w:eastAsia="仿宋_GB2312" w:hint="eastAsia"/>
          <w:kern w:val="0"/>
          <w:sz w:val="23"/>
          <w:szCs w:val="23"/>
        </w:rPr>
        <w:t xml:space="preserve">10  </w:t>
      </w:r>
      <w:r w:rsidRPr="00F212E7">
        <w:rPr>
          <w:rFonts w:eastAsia="仿宋_GB2312"/>
          <w:kern w:val="0"/>
          <w:sz w:val="23"/>
          <w:szCs w:val="23"/>
        </w:rPr>
        <w:t>20</w:t>
      </w:r>
      <w:r w:rsidRPr="00F212E7">
        <w:rPr>
          <w:rFonts w:eastAsia="仿宋_GB2312" w:hint="eastAsia"/>
          <w:kern w:val="0"/>
          <w:sz w:val="23"/>
          <w:szCs w:val="23"/>
        </w:rPr>
        <w:t>2</w:t>
      </w:r>
      <w:r w:rsidR="00730D23" w:rsidRPr="00F212E7">
        <w:rPr>
          <w:rFonts w:eastAsia="仿宋_GB2312" w:hint="eastAsia"/>
          <w:kern w:val="0"/>
          <w:sz w:val="23"/>
          <w:szCs w:val="23"/>
        </w:rPr>
        <w:t>1</w:t>
      </w:r>
      <w:r w:rsidRPr="00F212E7">
        <w:rPr>
          <w:rFonts w:eastAsia="仿宋_GB2312"/>
          <w:kern w:val="0"/>
          <w:sz w:val="23"/>
          <w:szCs w:val="23"/>
        </w:rPr>
        <w:t>-202</w:t>
      </w:r>
      <w:r w:rsidR="00730D23" w:rsidRPr="00F212E7">
        <w:rPr>
          <w:rFonts w:eastAsia="仿宋_GB2312" w:hint="eastAsia"/>
          <w:kern w:val="0"/>
          <w:sz w:val="23"/>
          <w:szCs w:val="23"/>
        </w:rPr>
        <w:t>5</w:t>
      </w:r>
      <w:r w:rsidRPr="00F212E7">
        <w:rPr>
          <w:rFonts w:eastAsia="仿宋_GB2312"/>
          <w:kern w:val="0"/>
          <w:sz w:val="23"/>
          <w:szCs w:val="23"/>
        </w:rPr>
        <w:t>年一般公共预算收入与增长速度</w:t>
      </w:r>
    </w:p>
    <w:p w:rsidR="00F014A3" w:rsidRPr="00F212E7" w:rsidRDefault="00730D23">
      <w:pPr>
        <w:ind w:firstLine="200"/>
        <w:jc w:val="center"/>
      </w:pPr>
      <w:r w:rsidRPr="00F212E7">
        <w:rPr>
          <w:noProof/>
        </w:rPr>
        <w:drawing>
          <wp:inline distT="0" distB="0" distL="0" distR="0" wp14:anchorId="0D463656" wp14:editId="599F2EF2">
            <wp:extent cx="4672584" cy="2770632"/>
            <wp:effectExtent l="0" t="0" r="13970" b="10795"/>
            <wp:docPr id="23" name="图表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A82944" w:rsidRPr="00F212E7" w:rsidRDefault="00A82944" w:rsidP="00A82944">
      <w:pPr>
        <w:spacing w:line="560" w:lineRule="exact"/>
        <w:ind w:firstLineChars="200" w:firstLine="640"/>
        <w:outlineLvl w:val="0"/>
        <w:rPr>
          <w:rFonts w:eastAsia="仿宋_GB2312"/>
          <w:bCs/>
          <w:caps/>
          <w:sz w:val="32"/>
          <w:szCs w:val="32"/>
        </w:rPr>
      </w:pPr>
      <w:bookmarkStart w:id="59" w:name="OLE_LINK79"/>
      <w:r w:rsidRPr="00F212E7">
        <w:rPr>
          <w:rFonts w:eastAsia="仿宋_GB2312" w:hint="eastAsia"/>
          <w:bCs/>
          <w:caps/>
          <w:sz w:val="32"/>
          <w:szCs w:val="32"/>
        </w:rPr>
        <w:t>全市共有银行业机构金融机构</w:t>
      </w:r>
      <w:r w:rsidRPr="00F212E7">
        <w:rPr>
          <w:rFonts w:eastAsia="仿宋_GB2312" w:hint="eastAsia"/>
          <w:bCs/>
          <w:caps/>
          <w:sz w:val="32"/>
          <w:szCs w:val="32"/>
        </w:rPr>
        <w:t>32</w:t>
      </w:r>
      <w:r w:rsidRPr="00F212E7">
        <w:rPr>
          <w:rFonts w:eastAsia="仿宋_GB2312" w:hint="eastAsia"/>
          <w:bCs/>
          <w:caps/>
          <w:sz w:val="32"/>
          <w:szCs w:val="32"/>
        </w:rPr>
        <w:t>家，小额贷款公司</w:t>
      </w:r>
      <w:r w:rsidRPr="00F212E7">
        <w:rPr>
          <w:rFonts w:eastAsia="仿宋_GB2312" w:hint="eastAsia"/>
          <w:bCs/>
          <w:caps/>
          <w:sz w:val="32"/>
          <w:szCs w:val="32"/>
        </w:rPr>
        <w:t>9</w:t>
      </w:r>
      <w:r w:rsidRPr="00F212E7">
        <w:rPr>
          <w:rFonts w:eastAsia="仿宋_GB2312" w:hint="eastAsia"/>
          <w:bCs/>
          <w:caps/>
          <w:sz w:val="32"/>
          <w:szCs w:val="32"/>
        </w:rPr>
        <w:t>家。年末全市金融机构本外币存款余额</w:t>
      </w:r>
      <w:r w:rsidRPr="00F212E7">
        <w:rPr>
          <w:rFonts w:eastAsia="仿宋_GB2312" w:hint="eastAsia"/>
          <w:bCs/>
          <w:caps/>
          <w:sz w:val="32"/>
          <w:szCs w:val="32"/>
        </w:rPr>
        <w:t>6047.05</w:t>
      </w:r>
      <w:r w:rsidRPr="00F212E7">
        <w:rPr>
          <w:rFonts w:eastAsia="仿宋_GB2312" w:hint="eastAsia"/>
          <w:bCs/>
          <w:caps/>
          <w:sz w:val="32"/>
          <w:szCs w:val="32"/>
        </w:rPr>
        <w:t>亿元，比年初增加</w:t>
      </w:r>
      <w:r w:rsidRPr="00F212E7">
        <w:rPr>
          <w:rFonts w:eastAsia="仿宋_GB2312" w:hint="eastAsia"/>
          <w:bCs/>
          <w:caps/>
          <w:sz w:val="32"/>
          <w:szCs w:val="32"/>
        </w:rPr>
        <w:t>577.48</w:t>
      </w:r>
      <w:r w:rsidRPr="00F212E7">
        <w:rPr>
          <w:rFonts w:eastAsia="仿宋_GB2312" w:hint="eastAsia"/>
          <w:bCs/>
          <w:caps/>
          <w:sz w:val="32"/>
          <w:szCs w:val="32"/>
        </w:rPr>
        <w:t>亿元，比上年末增长</w:t>
      </w:r>
      <w:r w:rsidRPr="00F212E7">
        <w:rPr>
          <w:rFonts w:eastAsia="仿宋_GB2312" w:hint="eastAsia"/>
          <w:bCs/>
          <w:caps/>
          <w:sz w:val="32"/>
          <w:szCs w:val="32"/>
        </w:rPr>
        <w:t>10.6%</w:t>
      </w:r>
      <w:r w:rsidRPr="00F212E7">
        <w:rPr>
          <w:rFonts w:eastAsia="仿宋_GB2312" w:hint="eastAsia"/>
          <w:bCs/>
          <w:caps/>
          <w:sz w:val="32"/>
          <w:szCs w:val="32"/>
        </w:rPr>
        <w:t>；其中，住户存款</w:t>
      </w:r>
      <w:r w:rsidRPr="00F212E7">
        <w:rPr>
          <w:rFonts w:eastAsia="仿宋_GB2312" w:hint="eastAsia"/>
          <w:bCs/>
          <w:caps/>
          <w:sz w:val="32"/>
          <w:szCs w:val="32"/>
        </w:rPr>
        <w:t>3643.85</w:t>
      </w:r>
      <w:r w:rsidRPr="00F212E7">
        <w:rPr>
          <w:rFonts w:eastAsia="仿宋_GB2312" w:hint="eastAsia"/>
          <w:bCs/>
          <w:caps/>
          <w:sz w:val="32"/>
          <w:szCs w:val="32"/>
        </w:rPr>
        <w:t>亿元，比年初增加</w:t>
      </w:r>
      <w:r w:rsidRPr="00F212E7">
        <w:rPr>
          <w:rFonts w:eastAsia="仿宋_GB2312" w:hint="eastAsia"/>
          <w:bCs/>
          <w:caps/>
          <w:sz w:val="32"/>
          <w:szCs w:val="32"/>
        </w:rPr>
        <w:t>411.53</w:t>
      </w:r>
      <w:r w:rsidRPr="00F212E7">
        <w:rPr>
          <w:rFonts w:eastAsia="仿宋_GB2312" w:hint="eastAsia"/>
          <w:bCs/>
          <w:caps/>
          <w:sz w:val="32"/>
          <w:szCs w:val="32"/>
        </w:rPr>
        <w:t>亿元，增长</w:t>
      </w:r>
      <w:r w:rsidRPr="00F212E7">
        <w:rPr>
          <w:rFonts w:eastAsia="仿宋_GB2312" w:hint="eastAsia"/>
          <w:bCs/>
          <w:caps/>
          <w:sz w:val="32"/>
          <w:szCs w:val="32"/>
        </w:rPr>
        <w:t>12.7%</w:t>
      </w:r>
      <w:r w:rsidRPr="00F212E7">
        <w:rPr>
          <w:rFonts w:eastAsia="仿宋_GB2312" w:hint="eastAsia"/>
          <w:bCs/>
          <w:caps/>
          <w:sz w:val="32"/>
          <w:szCs w:val="32"/>
        </w:rPr>
        <w:t>；非金融企业存款</w:t>
      </w:r>
      <w:r w:rsidRPr="00F212E7">
        <w:rPr>
          <w:rFonts w:eastAsia="仿宋_GB2312" w:hint="eastAsia"/>
          <w:bCs/>
          <w:caps/>
          <w:sz w:val="32"/>
          <w:szCs w:val="32"/>
        </w:rPr>
        <w:t>1289.71</w:t>
      </w:r>
      <w:r w:rsidRPr="00F212E7">
        <w:rPr>
          <w:rFonts w:eastAsia="仿宋_GB2312" w:hint="eastAsia"/>
          <w:bCs/>
          <w:caps/>
          <w:sz w:val="32"/>
          <w:szCs w:val="32"/>
        </w:rPr>
        <w:t>亿元，比年初增加</w:t>
      </w:r>
      <w:r w:rsidRPr="00F212E7">
        <w:rPr>
          <w:rFonts w:eastAsia="仿宋_GB2312" w:hint="eastAsia"/>
          <w:bCs/>
          <w:caps/>
          <w:sz w:val="32"/>
          <w:szCs w:val="32"/>
        </w:rPr>
        <w:t>186.30</w:t>
      </w:r>
      <w:r w:rsidRPr="00F212E7">
        <w:rPr>
          <w:rFonts w:eastAsia="仿宋_GB2312" w:hint="eastAsia"/>
          <w:bCs/>
          <w:caps/>
          <w:sz w:val="32"/>
          <w:szCs w:val="32"/>
        </w:rPr>
        <w:t>亿元，增长</w:t>
      </w:r>
      <w:r w:rsidRPr="00F212E7">
        <w:rPr>
          <w:rFonts w:eastAsia="仿宋_GB2312" w:hint="eastAsia"/>
          <w:bCs/>
          <w:caps/>
          <w:sz w:val="32"/>
          <w:szCs w:val="32"/>
        </w:rPr>
        <w:t>16.9%</w:t>
      </w:r>
      <w:r w:rsidRPr="00F212E7">
        <w:rPr>
          <w:rFonts w:eastAsia="仿宋_GB2312" w:hint="eastAsia"/>
          <w:bCs/>
          <w:caps/>
          <w:sz w:val="32"/>
          <w:szCs w:val="32"/>
        </w:rPr>
        <w:t>。全市金融机构本外币各项贷款余额</w:t>
      </w:r>
      <w:r w:rsidRPr="00F212E7">
        <w:rPr>
          <w:rFonts w:eastAsia="仿宋_GB2312" w:hint="eastAsia"/>
          <w:bCs/>
          <w:caps/>
          <w:sz w:val="32"/>
          <w:szCs w:val="32"/>
        </w:rPr>
        <w:t>6193.96</w:t>
      </w:r>
      <w:r w:rsidRPr="00F212E7">
        <w:rPr>
          <w:rFonts w:eastAsia="仿宋_GB2312" w:hint="eastAsia"/>
          <w:bCs/>
          <w:caps/>
          <w:sz w:val="32"/>
          <w:szCs w:val="32"/>
        </w:rPr>
        <w:t>亿元，比年初增加</w:t>
      </w:r>
      <w:r w:rsidRPr="00F212E7">
        <w:rPr>
          <w:rFonts w:eastAsia="仿宋_GB2312" w:hint="eastAsia"/>
          <w:bCs/>
          <w:caps/>
          <w:sz w:val="32"/>
          <w:szCs w:val="32"/>
        </w:rPr>
        <w:t>625.68</w:t>
      </w:r>
      <w:r w:rsidRPr="00F212E7">
        <w:rPr>
          <w:rFonts w:eastAsia="仿宋_GB2312" w:hint="eastAsia"/>
          <w:bCs/>
          <w:caps/>
          <w:sz w:val="32"/>
          <w:szCs w:val="32"/>
        </w:rPr>
        <w:t>亿，增长</w:t>
      </w:r>
      <w:r w:rsidRPr="00F212E7">
        <w:rPr>
          <w:rFonts w:eastAsia="仿宋_GB2312" w:hint="eastAsia"/>
          <w:bCs/>
          <w:caps/>
          <w:sz w:val="32"/>
          <w:szCs w:val="32"/>
        </w:rPr>
        <w:t>11.2%</w:t>
      </w:r>
      <w:r w:rsidRPr="00F212E7">
        <w:rPr>
          <w:rFonts w:eastAsia="仿宋_GB2312" w:hint="eastAsia"/>
          <w:bCs/>
          <w:caps/>
          <w:sz w:val="32"/>
          <w:szCs w:val="32"/>
        </w:rPr>
        <w:t>；住户贷款</w:t>
      </w:r>
      <w:r w:rsidRPr="00F212E7">
        <w:rPr>
          <w:rFonts w:eastAsia="仿宋_GB2312" w:hint="eastAsia"/>
          <w:bCs/>
          <w:caps/>
          <w:sz w:val="32"/>
          <w:szCs w:val="32"/>
        </w:rPr>
        <w:t>2538.66</w:t>
      </w:r>
      <w:r w:rsidRPr="00F212E7">
        <w:rPr>
          <w:rFonts w:eastAsia="仿宋_GB2312" w:hint="eastAsia"/>
          <w:bCs/>
          <w:caps/>
          <w:sz w:val="32"/>
          <w:szCs w:val="32"/>
        </w:rPr>
        <w:t>亿元，比年初增加</w:t>
      </w:r>
      <w:r w:rsidRPr="00F212E7">
        <w:rPr>
          <w:rFonts w:eastAsia="仿宋_GB2312" w:hint="eastAsia"/>
          <w:bCs/>
          <w:caps/>
          <w:sz w:val="32"/>
          <w:szCs w:val="32"/>
        </w:rPr>
        <w:t>155.32</w:t>
      </w:r>
      <w:r w:rsidRPr="00F212E7">
        <w:rPr>
          <w:rFonts w:eastAsia="仿宋_GB2312" w:hint="eastAsia"/>
          <w:bCs/>
          <w:caps/>
          <w:sz w:val="32"/>
          <w:szCs w:val="32"/>
        </w:rPr>
        <w:t>亿元，增长</w:t>
      </w:r>
      <w:r w:rsidRPr="00F212E7">
        <w:rPr>
          <w:rFonts w:eastAsia="仿宋_GB2312" w:hint="eastAsia"/>
          <w:bCs/>
          <w:caps/>
          <w:sz w:val="32"/>
          <w:szCs w:val="32"/>
        </w:rPr>
        <w:t>6.5%</w:t>
      </w:r>
      <w:r w:rsidRPr="00F212E7">
        <w:rPr>
          <w:rFonts w:eastAsia="仿宋_GB2312" w:hint="eastAsia"/>
          <w:bCs/>
          <w:caps/>
          <w:sz w:val="32"/>
          <w:szCs w:val="32"/>
        </w:rPr>
        <w:t>。</w:t>
      </w:r>
      <w:bookmarkEnd w:id="59"/>
    </w:p>
    <w:p w:rsidR="00A82944" w:rsidRPr="00F212E7" w:rsidRDefault="00A82944" w:rsidP="00A82944">
      <w:pPr>
        <w:spacing w:line="560" w:lineRule="exact"/>
        <w:ind w:firstLineChars="200" w:firstLine="640"/>
        <w:outlineLvl w:val="0"/>
        <w:rPr>
          <w:rFonts w:eastAsia="仿宋_GB2312"/>
          <w:bCs/>
          <w:caps/>
          <w:sz w:val="32"/>
          <w:szCs w:val="32"/>
        </w:rPr>
      </w:pPr>
      <w:bookmarkStart w:id="60" w:name="OLE_LINK80"/>
      <w:bookmarkStart w:id="61" w:name="OLE_LINK81"/>
      <w:r w:rsidRPr="00F212E7">
        <w:rPr>
          <w:rFonts w:eastAsia="仿宋_GB2312" w:hint="eastAsia"/>
          <w:bCs/>
          <w:caps/>
          <w:sz w:val="32"/>
          <w:szCs w:val="32"/>
        </w:rPr>
        <w:t>全市共有证券营业部</w:t>
      </w:r>
      <w:r w:rsidRPr="00F212E7">
        <w:rPr>
          <w:rFonts w:eastAsia="仿宋_GB2312" w:hint="eastAsia"/>
          <w:bCs/>
          <w:caps/>
          <w:sz w:val="32"/>
          <w:szCs w:val="32"/>
        </w:rPr>
        <w:t>34</w:t>
      </w:r>
      <w:r w:rsidRPr="00F212E7">
        <w:rPr>
          <w:rFonts w:eastAsia="仿宋_GB2312" w:hint="eastAsia"/>
          <w:bCs/>
          <w:caps/>
          <w:sz w:val="32"/>
          <w:szCs w:val="32"/>
        </w:rPr>
        <w:t>家。辖内证券公司全年两市总交易量为</w:t>
      </w:r>
      <w:r w:rsidRPr="00F212E7">
        <w:rPr>
          <w:rFonts w:eastAsia="仿宋_GB2312" w:hint="eastAsia"/>
          <w:bCs/>
          <w:caps/>
          <w:sz w:val="32"/>
          <w:szCs w:val="32"/>
        </w:rPr>
        <w:t>34850.95</w:t>
      </w:r>
      <w:r w:rsidRPr="00F212E7">
        <w:rPr>
          <w:rFonts w:eastAsia="仿宋_GB2312" w:hint="eastAsia"/>
          <w:bCs/>
          <w:caps/>
          <w:sz w:val="32"/>
          <w:szCs w:val="32"/>
        </w:rPr>
        <w:t>亿元，比上年增长</w:t>
      </w:r>
      <w:r w:rsidRPr="00F212E7">
        <w:rPr>
          <w:rFonts w:eastAsia="仿宋_GB2312" w:hint="eastAsia"/>
          <w:bCs/>
          <w:caps/>
          <w:sz w:val="32"/>
          <w:szCs w:val="32"/>
        </w:rPr>
        <w:t>69.6%</w:t>
      </w:r>
      <w:r w:rsidRPr="00F212E7">
        <w:rPr>
          <w:rFonts w:eastAsia="仿宋_GB2312" w:hint="eastAsia"/>
          <w:bCs/>
          <w:caps/>
          <w:sz w:val="32"/>
          <w:szCs w:val="32"/>
        </w:rPr>
        <w:t>。全市共有期货公司</w:t>
      </w:r>
      <w:r w:rsidRPr="00F212E7">
        <w:rPr>
          <w:rFonts w:eastAsia="仿宋_GB2312" w:hint="eastAsia"/>
          <w:bCs/>
          <w:caps/>
          <w:sz w:val="32"/>
          <w:szCs w:val="32"/>
        </w:rPr>
        <w:t>7</w:t>
      </w:r>
      <w:r w:rsidRPr="00F212E7">
        <w:rPr>
          <w:rFonts w:eastAsia="仿宋_GB2312" w:hint="eastAsia"/>
          <w:bCs/>
          <w:caps/>
          <w:sz w:val="32"/>
          <w:szCs w:val="32"/>
        </w:rPr>
        <w:t>家，全年总交易金额</w:t>
      </w:r>
      <w:r w:rsidRPr="00F212E7">
        <w:rPr>
          <w:rFonts w:eastAsia="仿宋_GB2312" w:hint="eastAsia"/>
          <w:bCs/>
          <w:caps/>
          <w:sz w:val="32"/>
          <w:szCs w:val="32"/>
        </w:rPr>
        <w:t>7336.58</w:t>
      </w:r>
      <w:r w:rsidRPr="00F212E7">
        <w:rPr>
          <w:rFonts w:eastAsia="仿宋_GB2312" w:hint="eastAsia"/>
          <w:bCs/>
          <w:caps/>
          <w:sz w:val="32"/>
          <w:szCs w:val="32"/>
        </w:rPr>
        <w:t>亿元，下降</w:t>
      </w:r>
      <w:r w:rsidRPr="00F212E7">
        <w:rPr>
          <w:rFonts w:eastAsia="仿宋_GB2312" w:hint="eastAsia"/>
          <w:bCs/>
          <w:caps/>
          <w:sz w:val="32"/>
          <w:szCs w:val="32"/>
        </w:rPr>
        <w:t>11.0%</w:t>
      </w:r>
      <w:r w:rsidRPr="00F212E7">
        <w:rPr>
          <w:rFonts w:eastAsia="仿宋_GB2312" w:hint="eastAsia"/>
          <w:bCs/>
          <w:caps/>
          <w:sz w:val="32"/>
          <w:szCs w:val="32"/>
        </w:rPr>
        <w:t>。</w:t>
      </w:r>
      <w:bookmarkEnd w:id="60"/>
      <w:bookmarkEnd w:id="61"/>
    </w:p>
    <w:p w:rsidR="0039368A" w:rsidRDefault="0039368A">
      <w:pPr>
        <w:widowControl/>
        <w:jc w:val="left"/>
        <w:rPr>
          <w:rFonts w:eastAsia="仿宋_GB2312"/>
          <w:kern w:val="0"/>
          <w:sz w:val="23"/>
          <w:szCs w:val="23"/>
        </w:rPr>
      </w:pPr>
      <w:r>
        <w:rPr>
          <w:rFonts w:eastAsia="仿宋_GB2312"/>
          <w:kern w:val="0"/>
          <w:sz w:val="23"/>
          <w:szCs w:val="23"/>
        </w:rPr>
        <w:br w:type="page"/>
      </w:r>
    </w:p>
    <w:p w:rsidR="00F014A3" w:rsidRPr="00F212E7" w:rsidRDefault="00CD538F">
      <w:pPr>
        <w:widowControl/>
        <w:ind w:firstLineChars="295" w:firstLine="678"/>
        <w:jc w:val="center"/>
        <w:rPr>
          <w:rFonts w:eastAsia="仿宋_GB2312"/>
          <w:kern w:val="0"/>
          <w:sz w:val="23"/>
          <w:szCs w:val="23"/>
        </w:rPr>
      </w:pPr>
      <w:r w:rsidRPr="00F212E7">
        <w:rPr>
          <w:rFonts w:eastAsia="仿宋_GB2312"/>
          <w:kern w:val="0"/>
          <w:sz w:val="23"/>
          <w:szCs w:val="23"/>
        </w:rPr>
        <w:lastRenderedPageBreak/>
        <w:t>图</w:t>
      </w:r>
      <w:r w:rsidRPr="00F212E7">
        <w:rPr>
          <w:rFonts w:eastAsia="仿宋_GB2312" w:hint="eastAsia"/>
          <w:kern w:val="0"/>
          <w:sz w:val="23"/>
          <w:szCs w:val="23"/>
        </w:rPr>
        <w:t xml:space="preserve">11  </w:t>
      </w:r>
      <w:r w:rsidRPr="00F212E7">
        <w:rPr>
          <w:rFonts w:eastAsia="仿宋_GB2312"/>
          <w:kern w:val="0"/>
          <w:sz w:val="23"/>
          <w:szCs w:val="23"/>
        </w:rPr>
        <w:t>20</w:t>
      </w:r>
      <w:r w:rsidRPr="00F212E7">
        <w:rPr>
          <w:rFonts w:eastAsia="仿宋_GB2312" w:hint="eastAsia"/>
          <w:kern w:val="0"/>
          <w:sz w:val="23"/>
          <w:szCs w:val="23"/>
        </w:rPr>
        <w:t>2</w:t>
      </w:r>
      <w:r w:rsidR="00BE0B59" w:rsidRPr="00F212E7">
        <w:rPr>
          <w:rFonts w:eastAsia="仿宋_GB2312" w:hint="eastAsia"/>
          <w:kern w:val="0"/>
          <w:sz w:val="23"/>
          <w:szCs w:val="23"/>
        </w:rPr>
        <w:t>1</w:t>
      </w:r>
      <w:r w:rsidRPr="00F212E7">
        <w:rPr>
          <w:rFonts w:eastAsia="仿宋_GB2312" w:hint="eastAsia"/>
          <w:kern w:val="0"/>
          <w:sz w:val="23"/>
          <w:szCs w:val="23"/>
        </w:rPr>
        <w:t>-</w:t>
      </w:r>
      <w:r w:rsidRPr="00F212E7">
        <w:rPr>
          <w:rFonts w:eastAsia="仿宋_GB2312"/>
          <w:kern w:val="0"/>
          <w:sz w:val="23"/>
          <w:szCs w:val="23"/>
        </w:rPr>
        <w:t>202</w:t>
      </w:r>
      <w:r w:rsidR="00BE0B59" w:rsidRPr="00F212E7">
        <w:rPr>
          <w:rFonts w:eastAsia="仿宋_GB2312" w:hint="eastAsia"/>
          <w:kern w:val="0"/>
          <w:sz w:val="23"/>
          <w:szCs w:val="23"/>
        </w:rPr>
        <w:t>5</w:t>
      </w:r>
      <w:r w:rsidRPr="00F212E7">
        <w:rPr>
          <w:rFonts w:eastAsia="仿宋_GB2312"/>
          <w:kern w:val="0"/>
          <w:sz w:val="23"/>
          <w:szCs w:val="23"/>
        </w:rPr>
        <w:t>年金融机构存款余额与增长速度</w:t>
      </w:r>
    </w:p>
    <w:p w:rsidR="00F014A3" w:rsidRPr="00F212E7" w:rsidRDefault="003D0B9F">
      <w:pPr>
        <w:widowControl/>
        <w:ind w:firstLine="200"/>
        <w:jc w:val="center"/>
        <w:rPr>
          <w:rFonts w:eastAsia="仿宋_GB2312"/>
          <w:kern w:val="0"/>
          <w:sz w:val="23"/>
          <w:szCs w:val="23"/>
        </w:rPr>
      </w:pPr>
      <w:r>
        <w:rPr>
          <w:noProof/>
        </w:rPr>
        <w:drawing>
          <wp:inline distT="0" distB="0" distL="0" distR="0" wp14:anchorId="3ABA7D2A" wp14:editId="54A898BB">
            <wp:extent cx="4572000" cy="2743200"/>
            <wp:effectExtent l="0" t="0" r="19050" b="19050"/>
            <wp:docPr id="4"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F014A3" w:rsidRPr="00F212E7" w:rsidRDefault="00CD538F">
      <w:pPr>
        <w:ind w:firstLineChars="200" w:firstLine="460"/>
        <w:jc w:val="center"/>
        <w:rPr>
          <w:rFonts w:eastAsia="仿宋_GB2312"/>
          <w:kern w:val="0"/>
          <w:sz w:val="23"/>
          <w:szCs w:val="23"/>
        </w:rPr>
      </w:pPr>
      <w:r w:rsidRPr="00F212E7">
        <w:rPr>
          <w:rFonts w:eastAsia="仿宋_GB2312"/>
          <w:kern w:val="0"/>
          <w:sz w:val="23"/>
          <w:szCs w:val="23"/>
        </w:rPr>
        <w:t>图</w:t>
      </w:r>
      <w:r w:rsidRPr="00F212E7">
        <w:rPr>
          <w:rFonts w:eastAsia="仿宋_GB2312"/>
          <w:kern w:val="0"/>
          <w:sz w:val="23"/>
          <w:szCs w:val="23"/>
        </w:rPr>
        <w:t>1</w:t>
      </w:r>
      <w:r w:rsidRPr="00F212E7">
        <w:rPr>
          <w:rFonts w:eastAsia="仿宋_GB2312" w:hint="eastAsia"/>
          <w:kern w:val="0"/>
          <w:sz w:val="23"/>
          <w:szCs w:val="23"/>
        </w:rPr>
        <w:t xml:space="preserve">2  </w:t>
      </w:r>
      <w:r w:rsidRPr="00F212E7">
        <w:rPr>
          <w:rFonts w:eastAsia="仿宋_GB2312"/>
          <w:kern w:val="0"/>
          <w:sz w:val="23"/>
          <w:szCs w:val="23"/>
        </w:rPr>
        <w:t>20</w:t>
      </w:r>
      <w:r w:rsidRPr="00F212E7">
        <w:rPr>
          <w:rFonts w:eastAsia="仿宋_GB2312" w:hint="eastAsia"/>
          <w:kern w:val="0"/>
          <w:sz w:val="23"/>
          <w:szCs w:val="23"/>
        </w:rPr>
        <w:t>2</w:t>
      </w:r>
      <w:r w:rsidR="00BE0B59" w:rsidRPr="00F212E7">
        <w:rPr>
          <w:rFonts w:eastAsia="仿宋_GB2312" w:hint="eastAsia"/>
          <w:kern w:val="0"/>
          <w:sz w:val="23"/>
          <w:szCs w:val="23"/>
        </w:rPr>
        <w:t>1</w:t>
      </w:r>
      <w:r w:rsidRPr="00F212E7">
        <w:rPr>
          <w:rFonts w:eastAsia="仿宋_GB2312"/>
          <w:kern w:val="0"/>
          <w:sz w:val="23"/>
          <w:szCs w:val="23"/>
        </w:rPr>
        <w:t>-202</w:t>
      </w:r>
      <w:r w:rsidR="00BE0B59" w:rsidRPr="00F212E7">
        <w:rPr>
          <w:rFonts w:eastAsia="仿宋_GB2312" w:hint="eastAsia"/>
          <w:kern w:val="0"/>
          <w:sz w:val="23"/>
          <w:szCs w:val="23"/>
        </w:rPr>
        <w:t>5</w:t>
      </w:r>
      <w:r w:rsidRPr="00F212E7">
        <w:rPr>
          <w:rFonts w:eastAsia="仿宋_GB2312"/>
          <w:kern w:val="0"/>
          <w:sz w:val="23"/>
          <w:szCs w:val="23"/>
        </w:rPr>
        <w:t>年金融机构贷款余额与增长速度</w:t>
      </w:r>
    </w:p>
    <w:p w:rsidR="00F014A3" w:rsidRPr="00F212E7" w:rsidRDefault="00BE0B59" w:rsidP="00BE0B59">
      <w:pPr>
        <w:ind w:firstLineChars="200" w:firstLine="420"/>
        <w:jc w:val="center"/>
        <w:rPr>
          <w:rFonts w:eastAsia="仿宋_GB2312"/>
          <w:kern w:val="0"/>
          <w:sz w:val="23"/>
          <w:szCs w:val="23"/>
        </w:rPr>
      </w:pPr>
      <w:r w:rsidRPr="00F212E7">
        <w:rPr>
          <w:noProof/>
        </w:rPr>
        <w:drawing>
          <wp:inline distT="0" distB="0" distL="0" distR="0" wp14:anchorId="0D2CE396" wp14:editId="0E239995">
            <wp:extent cx="4572000" cy="2733675"/>
            <wp:effectExtent l="0" t="0" r="19050" b="9525"/>
            <wp:docPr id="25" name="图表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C4017E" w:rsidRPr="00F212E7" w:rsidRDefault="00C4017E" w:rsidP="00C4017E">
      <w:pPr>
        <w:spacing w:line="560" w:lineRule="exact"/>
        <w:ind w:firstLineChars="200" w:firstLine="640"/>
        <w:jc w:val="left"/>
        <w:outlineLvl w:val="0"/>
        <w:rPr>
          <w:rFonts w:eastAsia="仿宋_GB2312"/>
          <w:bCs/>
          <w:caps/>
          <w:sz w:val="32"/>
          <w:szCs w:val="32"/>
        </w:rPr>
      </w:pPr>
      <w:r w:rsidRPr="00F212E7">
        <w:rPr>
          <w:rFonts w:eastAsia="仿宋_GB2312" w:hint="eastAsia"/>
          <w:bCs/>
          <w:caps/>
          <w:sz w:val="32"/>
          <w:szCs w:val="32"/>
        </w:rPr>
        <w:t>全市共有保险公司分支机构</w:t>
      </w:r>
      <w:r w:rsidRPr="00F212E7">
        <w:rPr>
          <w:rFonts w:eastAsia="仿宋_GB2312" w:hint="eastAsia"/>
          <w:bCs/>
          <w:caps/>
          <w:sz w:val="32"/>
          <w:szCs w:val="32"/>
        </w:rPr>
        <w:t>36</w:t>
      </w:r>
      <w:r w:rsidRPr="00F212E7">
        <w:rPr>
          <w:rFonts w:eastAsia="仿宋_GB2312" w:hint="eastAsia"/>
          <w:bCs/>
          <w:caps/>
          <w:sz w:val="32"/>
          <w:szCs w:val="32"/>
        </w:rPr>
        <w:t>家，其中财产保险公司</w:t>
      </w:r>
      <w:r w:rsidRPr="00F212E7">
        <w:rPr>
          <w:rFonts w:eastAsia="仿宋_GB2312" w:hint="eastAsia"/>
          <w:bCs/>
          <w:caps/>
          <w:sz w:val="32"/>
          <w:szCs w:val="32"/>
        </w:rPr>
        <w:t>23</w:t>
      </w:r>
      <w:r w:rsidRPr="00F212E7">
        <w:rPr>
          <w:rFonts w:eastAsia="仿宋_GB2312" w:hint="eastAsia"/>
          <w:bCs/>
          <w:caps/>
          <w:sz w:val="32"/>
          <w:szCs w:val="32"/>
        </w:rPr>
        <w:t>家，人寿保险公司</w:t>
      </w:r>
      <w:r w:rsidRPr="00F212E7">
        <w:rPr>
          <w:rFonts w:eastAsia="仿宋_GB2312" w:hint="eastAsia"/>
          <w:bCs/>
          <w:caps/>
          <w:sz w:val="32"/>
          <w:szCs w:val="32"/>
        </w:rPr>
        <w:t>13</w:t>
      </w:r>
      <w:r w:rsidRPr="00F212E7">
        <w:rPr>
          <w:rFonts w:eastAsia="仿宋_GB2312" w:hint="eastAsia"/>
          <w:bCs/>
          <w:caps/>
          <w:sz w:val="32"/>
          <w:szCs w:val="32"/>
        </w:rPr>
        <w:t>家。全年实现保费收入</w:t>
      </w:r>
      <w:r w:rsidRPr="00F212E7">
        <w:rPr>
          <w:rFonts w:eastAsia="仿宋_GB2312" w:hint="eastAsia"/>
          <w:bCs/>
          <w:caps/>
          <w:sz w:val="32"/>
          <w:szCs w:val="32"/>
        </w:rPr>
        <w:t>101.3</w:t>
      </w:r>
      <w:r w:rsidRPr="00F212E7">
        <w:rPr>
          <w:rFonts w:eastAsia="仿宋_GB2312" w:hint="eastAsia"/>
          <w:bCs/>
          <w:caps/>
          <w:sz w:val="32"/>
          <w:szCs w:val="32"/>
        </w:rPr>
        <w:t>亿元，比上年增长</w:t>
      </w:r>
      <w:r w:rsidRPr="00F212E7">
        <w:rPr>
          <w:rFonts w:eastAsia="仿宋_GB2312" w:hint="eastAsia"/>
          <w:bCs/>
          <w:caps/>
          <w:sz w:val="32"/>
          <w:szCs w:val="32"/>
        </w:rPr>
        <w:t>21.1%</w:t>
      </w:r>
      <w:r w:rsidRPr="00F212E7">
        <w:rPr>
          <w:rFonts w:eastAsia="仿宋_GB2312" w:hint="eastAsia"/>
          <w:bCs/>
          <w:caps/>
          <w:sz w:val="32"/>
          <w:szCs w:val="32"/>
        </w:rPr>
        <w:t>。其中财产险收入</w:t>
      </w:r>
      <w:r w:rsidRPr="00F212E7">
        <w:rPr>
          <w:rFonts w:eastAsia="仿宋_GB2312" w:hint="eastAsia"/>
          <w:bCs/>
          <w:caps/>
          <w:sz w:val="32"/>
          <w:szCs w:val="32"/>
        </w:rPr>
        <w:t>39.6</w:t>
      </w:r>
      <w:r w:rsidRPr="00F212E7">
        <w:rPr>
          <w:rFonts w:eastAsia="仿宋_GB2312" w:hint="eastAsia"/>
          <w:bCs/>
          <w:caps/>
          <w:sz w:val="32"/>
          <w:szCs w:val="32"/>
        </w:rPr>
        <w:t>亿元，增长</w:t>
      </w:r>
      <w:r w:rsidRPr="00F212E7">
        <w:rPr>
          <w:rFonts w:eastAsia="仿宋_GB2312" w:hint="eastAsia"/>
          <w:bCs/>
          <w:caps/>
          <w:sz w:val="32"/>
          <w:szCs w:val="32"/>
        </w:rPr>
        <w:t>4.5%</w:t>
      </w:r>
      <w:r w:rsidRPr="00F212E7">
        <w:rPr>
          <w:rFonts w:eastAsia="仿宋_GB2312" w:hint="eastAsia"/>
          <w:bCs/>
          <w:caps/>
          <w:sz w:val="32"/>
          <w:szCs w:val="32"/>
        </w:rPr>
        <w:t>；寿险收入</w:t>
      </w:r>
      <w:r w:rsidRPr="00F212E7">
        <w:rPr>
          <w:rFonts w:eastAsia="仿宋_GB2312" w:hint="eastAsia"/>
          <w:bCs/>
          <w:caps/>
          <w:sz w:val="32"/>
          <w:szCs w:val="32"/>
        </w:rPr>
        <w:t>61.7</w:t>
      </w:r>
      <w:r w:rsidRPr="00F212E7">
        <w:rPr>
          <w:rFonts w:eastAsia="仿宋_GB2312" w:hint="eastAsia"/>
          <w:bCs/>
          <w:caps/>
          <w:sz w:val="32"/>
          <w:szCs w:val="32"/>
        </w:rPr>
        <w:t>亿元，增长</w:t>
      </w:r>
      <w:r w:rsidRPr="00F212E7">
        <w:rPr>
          <w:rFonts w:eastAsia="仿宋_GB2312" w:hint="eastAsia"/>
          <w:bCs/>
          <w:caps/>
          <w:sz w:val="32"/>
          <w:szCs w:val="32"/>
        </w:rPr>
        <w:t>34.7%</w:t>
      </w:r>
      <w:r w:rsidRPr="00F212E7">
        <w:rPr>
          <w:rFonts w:eastAsia="仿宋_GB2312" w:hint="eastAsia"/>
          <w:bCs/>
          <w:caps/>
          <w:sz w:val="32"/>
          <w:szCs w:val="32"/>
        </w:rPr>
        <w:t>。全年累计赔款支出</w:t>
      </w:r>
      <w:r w:rsidRPr="00F212E7">
        <w:rPr>
          <w:rFonts w:eastAsia="仿宋_GB2312" w:hint="eastAsia"/>
          <w:bCs/>
          <w:caps/>
          <w:sz w:val="32"/>
          <w:szCs w:val="32"/>
        </w:rPr>
        <w:t>40.5</w:t>
      </w:r>
      <w:r w:rsidRPr="00F212E7">
        <w:rPr>
          <w:rFonts w:eastAsia="仿宋_GB2312" w:hint="eastAsia"/>
          <w:bCs/>
          <w:caps/>
          <w:sz w:val="32"/>
          <w:szCs w:val="32"/>
        </w:rPr>
        <w:t>亿元，增长</w:t>
      </w:r>
      <w:r w:rsidRPr="00F212E7">
        <w:rPr>
          <w:rFonts w:eastAsia="仿宋_GB2312" w:hint="eastAsia"/>
          <w:bCs/>
          <w:caps/>
          <w:sz w:val="32"/>
          <w:szCs w:val="32"/>
        </w:rPr>
        <w:t>12.6%</w:t>
      </w:r>
      <w:r w:rsidRPr="00F212E7">
        <w:rPr>
          <w:rFonts w:eastAsia="仿宋_GB2312" w:hint="eastAsia"/>
          <w:bCs/>
          <w:caps/>
          <w:sz w:val="32"/>
          <w:szCs w:val="32"/>
        </w:rPr>
        <w:t>，其中财产险</w:t>
      </w:r>
      <w:r w:rsidRPr="00F212E7">
        <w:rPr>
          <w:rFonts w:eastAsia="仿宋_GB2312" w:hint="eastAsia"/>
          <w:bCs/>
          <w:caps/>
          <w:sz w:val="32"/>
          <w:szCs w:val="32"/>
        </w:rPr>
        <w:t>23.4</w:t>
      </w:r>
      <w:r w:rsidRPr="00F212E7">
        <w:rPr>
          <w:rFonts w:eastAsia="仿宋_GB2312" w:hint="eastAsia"/>
          <w:bCs/>
          <w:caps/>
          <w:sz w:val="32"/>
          <w:szCs w:val="32"/>
        </w:rPr>
        <w:t>亿元，下降</w:t>
      </w:r>
      <w:r w:rsidRPr="00F212E7">
        <w:rPr>
          <w:rFonts w:eastAsia="仿宋_GB2312" w:hint="eastAsia"/>
          <w:bCs/>
          <w:caps/>
          <w:sz w:val="32"/>
          <w:szCs w:val="32"/>
        </w:rPr>
        <w:t>7.7%</w:t>
      </w:r>
      <w:r w:rsidRPr="00F212E7">
        <w:rPr>
          <w:rFonts w:eastAsia="仿宋_GB2312" w:hint="eastAsia"/>
          <w:bCs/>
          <w:caps/>
          <w:sz w:val="32"/>
          <w:szCs w:val="32"/>
        </w:rPr>
        <w:t>，寿险</w:t>
      </w:r>
      <w:r w:rsidRPr="00F212E7">
        <w:rPr>
          <w:rFonts w:eastAsia="仿宋_GB2312" w:hint="eastAsia"/>
          <w:bCs/>
          <w:caps/>
          <w:sz w:val="32"/>
          <w:szCs w:val="32"/>
        </w:rPr>
        <w:t>17.2</w:t>
      </w:r>
      <w:r w:rsidRPr="00F212E7">
        <w:rPr>
          <w:rFonts w:eastAsia="仿宋_GB2312" w:hint="eastAsia"/>
          <w:bCs/>
          <w:caps/>
          <w:sz w:val="32"/>
          <w:szCs w:val="32"/>
        </w:rPr>
        <w:t>亿元，增长</w:t>
      </w:r>
      <w:r w:rsidRPr="00F212E7">
        <w:rPr>
          <w:rFonts w:eastAsia="仿宋_GB2312" w:hint="eastAsia"/>
          <w:bCs/>
          <w:caps/>
          <w:sz w:val="32"/>
          <w:szCs w:val="32"/>
        </w:rPr>
        <w:t>61.0%</w:t>
      </w:r>
      <w:r w:rsidRPr="00F212E7">
        <w:rPr>
          <w:rFonts w:eastAsia="仿宋_GB2312" w:hint="eastAsia"/>
          <w:bCs/>
          <w:caps/>
          <w:sz w:val="32"/>
          <w:szCs w:val="32"/>
        </w:rPr>
        <w:t>。</w:t>
      </w:r>
    </w:p>
    <w:p w:rsidR="00F014A3" w:rsidRPr="00F212E7" w:rsidRDefault="00CD538F" w:rsidP="00FB4CFD">
      <w:pPr>
        <w:spacing w:line="560" w:lineRule="exact"/>
        <w:ind w:firstLineChars="200" w:firstLine="723"/>
        <w:outlineLvl w:val="0"/>
        <w:rPr>
          <w:rFonts w:eastAsia="仿宋_GB2312"/>
          <w:b/>
          <w:sz w:val="36"/>
        </w:rPr>
      </w:pPr>
      <w:r w:rsidRPr="00F212E7">
        <w:rPr>
          <w:rFonts w:eastAsia="仿宋_GB2312"/>
          <w:b/>
          <w:sz w:val="36"/>
        </w:rPr>
        <w:t>九、教育和科学技术</w:t>
      </w:r>
    </w:p>
    <w:p w:rsidR="00235BCF" w:rsidRPr="00F212E7" w:rsidRDefault="00235BCF" w:rsidP="00235BCF">
      <w:pPr>
        <w:spacing w:line="560" w:lineRule="exact"/>
        <w:ind w:firstLineChars="200" w:firstLine="640"/>
        <w:jc w:val="left"/>
        <w:outlineLvl w:val="0"/>
        <w:rPr>
          <w:rFonts w:eastAsia="仿宋_GB2312"/>
          <w:bCs/>
          <w:caps/>
          <w:sz w:val="32"/>
          <w:szCs w:val="32"/>
        </w:rPr>
      </w:pPr>
      <w:r w:rsidRPr="00F212E7">
        <w:rPr>
          <w:rFonts w:eastAsia="仿宋_GB2312" w:hint="eastAsia"/>
          <w:bCs/>
          <w:caps/>
          <w:sz w:val="32"/>
          <w:szCs w:val="32"/>
        </w:rPr>
        <w:t>全市现有大学</w:t>
      </w:r>
      <w:r w:rsidRPr="00F212E7">
        <w:rPr>
          <w:rFonts w:eastAsia="仿宋_GB2312" w:hint="eastAsia"/>
          <w:bCs/>
          <w:caps/>
          <w:sz w:val="32"/>
          <w:szCs w:val="32"/>
        </w:rPr>
        <w:t>2</w:t>
      </w:r>
      <w:r w:rsidRPr="00F212E7">
        <w:rPr>
          <w:rFonts w:eastAsia="仿宋_GB2312" w:hint="eastAsia"/>
          <w:bCs/>
          <w:caps/>
          <w:sz w:val="32"/>
          <w:szCs w:val="32"/>
        </w:rPr>
        <w:t>所，职业院校</w:t>
      </w:r>
      <w:r w:rsidRPr="00F212E7">
        <w:rPr>
          <w:rFonts w:eastAsia="仿宋_GB2312" w:hint="eastAsia"/>
          <w:bCs/>
          <w:caps/>
          <w:sz w:val="32"/>
          <w:szCs w:val="32"/>
        </w:rPr>
        <w:t>1</w:t>
      </w:r>
      <w:r w:rsidRPr="00F212E7">
        <w:rPr>
          <w:rFonts w:eastAsia="仿宋_GB2312" w:hint="eastAsia"/>
          <w:bCs/>
          <w:caps/>
          <w:sz w:val="32"/>
          <w:szCs w:val="32"/>
        </w:rPr>
        <w:t>所，技师学院</w:t>
      </w:r>
      <w:r w:rsidRPr="00F212E7">
        <w:rPr>
          <w:rFonts w:eastAsia="仿宋_GB2312" w:hint="eastAsia"/>
          <w:bCs/>
          <w:caps/>
          <w:sz w:val="32"/>
          <w:szCs w:val="32"/>
        </w:rPr>
        <w:t>1</w:t>
      </w:r>
      <w:r w:rsidRPr="00F212E7">
        <w:rPr>
          <w:rFonts w:eastAsia="仿宋_GB2312" w:hint="eastAsia"/>
          <w:bCs/>
          <w:caps/>
          <w:sz w:val="32"/>
          <w:szCs w:val="32"/>
        </w:rPr>
        <w:t>所；公</w:t>
      </w:r>
      <w:r w:rsidRPr="00F212E7">
        <w:rPr>
          <w:rFonts w:eastAsia="仿宋_GB2312" w:hint="eastAsia"/>
          <w:bCs/>
          <w:caps/>
          <w:sz w:val="32"/>
          <w:szCs w:val="32"/>
        </w:rPr>
        <w:lastRenderedPageBreak/>
        <w:t>办中小学</w:t>
      </w:r>
      <w:r w:rsidR="004673A5">
        <w:rPr>
          <w:rFonts w:eastAsia="仿宋_GB2312" w:hint="eastAsia"/>
          <w:bCs/>
          <w:caps/>
          <w:sz w:val="32"/>
          <w:szCs w:val="32"/>
        </w:rPr>
        <w:t>142</w:t>
      </w:r>
      <w:r w:rsidRPr="00F212E7">
        <w:rPr>
          <w:rFonts w:eastAsia="仿宋_GB2312" w:hint="eastAsia"/>
          <w:bCs/>
          <w:caps/>
          <w:sz w:val="32"/>
          <w:szCs w:val="32"/>
        </w:rPr>
        <w:t>所（含职高），民办中小学</w:t>
      </w:r>
      <w:r w:rsidRPr="00F212E7">
        <w:rPr>
          <w:rFonts w:eastAsia="仿宋_GB2312" w:hint="eastAsia"/>
          <w:bCs/>
          <w:caps/>
          <w:sz w:val="32"/>
          <w:szCs w:val="32"/>
        </w:rPr>
        <w:t>15</w:t>
      </w:r>
      <w:r w:rsidRPr="00F212E7">
        <w:rPr>
          <w:rFonts w:eastAsia="仿宋_GB2312" w:hint="eastAsia"/>
          <w:bCs/>
          <w:caps/>
          <w:sz w:val="32"/>
          <w:szCs w:val="32"/>
        </w:rPr>
        <w:t>所（含职高），幼儿园</w:t>
      </w:r>
      <w:r w:rsidRPr="00F212E7">
        <w:rPr>
          <w:rFonts w:eastAsia="仿宋_GB2312" w:hint="eastAsia"/>
          <w:bCs/>
          <w:caps/>
          <w:sz w:val="32"/>
          <w:szCs w:val="32"/>
        </w:rPr>
        <w:t>2</w:t>
      </w:r>
      <w:r w:rsidR="001A147A">
        <w:rPr>
          <w:rFonts w:eastAsia="仿宋_GB2312" w:hint="eastAsia"/>
          <w:bCs/>
          <w:caps/>
          <w:sz w:val="32"/>
          <w:szCs w:val="32"/>
        </w:rPr>
        <w:t>20</w:t>
      </w:r>
      <w:r w:rsidRPr="00F212E7">
        <w:rPr>
          <w:rFonts w:eastAsia="仿宋_GB2312" w:hint="eastAsia"/>
          <w:bCs/>
          <w:caps/>
          <w:sz w:val="32"/>
          <w:szCs w:val="32"/>
        </w:rPr>
        <w:t>所，特殊教育学校</w:t>
      </w:r>
      <w:r w:rsidRPr="00F212E7">
        <w:rPr>
          <w:rFonts w:eastAsia="仿宋_GB2312" w:hint="eastAsia"/>
          <w:bCs/>
          <w:caps/>
          <w:sz w:val="32"/>
          <w:szCs w:val="32"/>
        </w:rPr>
        <w:t>1</w:t>
      </w:r>
      <w:r w:rsidRPr="00F212E7">
        <w:rPr>
          <w:rFonts w:eastAsia="仿宋_GB2312" w:hint="eastAsia"/>
          <w:bCs/>
          <w:caps/>
          <w:sz w:val="32"/>
          <w:szCs w:val="32"/>
        </w:rPr>
        <w:t>所，在校（园）生</w:t>
      </w:r>
      <w:bookmarkStart w:id="62" w:name="OLE_LINK12"/>
      <w:bookmarkStart w:id="63" w:name="OLE_LINK13"/>
      <w:r w:rsidRPr="00F212E7">
        <w:rPr>
          <w:rFonts w:eastAsia="仿宋_GB2312" w:hint="eastAsia"/>
          <w:bCs/>
          <w:caps/>
          <w:sz w:val="32"/>
          <w:szCs w:val="32"/>
        </w:rPr>
        <w:t>3</w:t>
      </w:r>
      <w:bookmarkEnd w:id="62"/>
      <w:bookmarkEnd w:id="63"/>
      <w:r w:rsidR="004673A5">
        <w:rPr>
          <w:rFonts w:eastAsia="仿宋_GB2312" w:hint="eastAsia"/>
          <w:bCs/>
          <w:caps/>
          <w:sz w:val="32"/>
          <w:szCs w:val="32"/>
        </w:rPr>
        <w:t>0.42</w:t>
      </w:r>
      <w:r w:rsidRPr="00F212E7">
        <w:rPr>
          <w:rFonts w:eastAsia="仿宋_GB2312" w:hint="eastAsia"/>
          <w:bCs/>
          <w:caps/>
          <w:sz w:val="32"/>
          <w:szCs w:val="32"/>
        </w:rPr>
        <w:t>万人，教职工</w:t>
      </w:r>
      <w:r w:rsidRPr="00F212E7">
        <w:rPr>
          <w:rFonts w:eastAsia="仿宋_GB2312" w:hint="eastAsia"/>
          <w:bCs/>
          <w:caps/>
          <w:sz w:val="32"/>
          <w:szCs w:val="32"/>
        </w:rPr>
        <w:t>2</w:t>
      </w:r>
      <w:r w:rsidR="001A147A">
        <w:rPr>
          <w:rFonts w:eastAsia="仿宋_GB2312" w:hint="eastAsia"/>
          <w:bCs/>
          <w:caps/>
          <w:sz w:val="32"/>
          <w:szCs w:val="32"/>
        </w:rPr>
        <w:t>.</w:t>
      </w:r>
      <w:r w:rsidR="004673A5">
        <w:rPr>
          <w:rFonts w:eastAsia="仿宋_GB2312" w:hint="eastAsia"/>
          <w:bCs/>
          <w:caps/>
          <w:sz w:val="32"/>
          <w:szCs w:val="32"/>
        </w:rPr>
        <w:t>57</w:t>
      </w:r>
      <w:r w:rsidR="001A147A">
        <w:rPr>
          <w:rFonts w:eastAsia="仿宋_GB2312" w:hint="eastAsia"/>
          <w:bCs/>
          <w:caps/>
          <w:sz w:val="32"/>
          <w:szCs w:val="32"/>
        </w:rPr>
        <w:t>万</w:t>
      </w:r>
      <w:r w:rsidRPr="00F212E7">
        <w:rPr>
          <w:rFonts w:eastAsia="仿宋_GB2312" w:hint="eastAsia"/>
          <w:bCs/>
          <w:caps/>
          <w:sz w:val="32"/>
          <w:szCs w:val="32"/>
        </w:rPr>
        <w:t>人（其中专任教师</w:t>
      </w:r>
      <w:bookmarkStart w:id="64" w:name="OLE_LINK14"/>
      <w:bookmarkStart w:id="65" w:name="OLE_LINK15"/>
      <w:r w:rsidRPr="00F212E7">
        <w:rPr>
          <w:rFonts w:eastAsia="仿宋_GB2312" w:hint="eastAsia"/>
          <w:bCs/>
          <w:caps/>
          <w:sz w:val="32"/>
          <w:szCs w:val="32"/>
        </w:rPr>
        <w:t>2</w:t>
      </w:r>
      <w:bookmarkEnd w:id="64"/>
      <w:bookmarkEnd w:id="65"/>
      <w:r w:rsidR="001A147A">
        <w:rPr>
          <w:rFonts w:eastAsia="仿宋_GB2312" w:hint="eastAsia"/>
          <w:bCs/>
          <w:caps/>
          <w:sz w:val="32"/>
          <w:szCs w:val="32"/>
        </w:rPr>
        <w:t>.06</w:t>
      </w:r>
      <w:r w:rsidR="001A147A">
        <w:rPr>
          <w:rFonts w:eastAsia="仿宋_GB2312" w:hint="eastAsia"/>
          <w:bCs/>
          <w:caps/>
          <w:sz w:val="32"/>
          <w:szCs w:val="32"/>
        </w:rPr>
        <w:t>万</w:t>
      </w:r>
      <w:r w:rsidRPr="00F212E7">
        <w:rPr>
          <w:rFonts w:eastAsia="仿宋_GB2312" w:hint="eastAsia"/>
          <w:bCs/>
          <w:caps/>
          <w:sz w:val="32"/>
          <w:szCs w:val="32"/>
        </w:rPr>
        <w:t>人），在读外籍学生</w:t>
      </w:r>
      <w:r w:rsidRPr="00F212E7">
        <w:rPr>
          <w:rFonts w:eastAsia="仿宋_GB2312" w:hint="eastAsia"/>
          <w:bCs/>
          <w:caps/>
          <w:sz w:val="32"/>
          <w:szCs w:val="32"/>
        </w:rPr>
        <w:t>581</w:t>
      </w:r>
      <w:r w:rsidRPr="00F212E7">
        <w:rPr>
          <w:rFonts w:eastAsia="仿宋_GB2312" w:hint="eastAsia"/>
          <w:bCs/>
          <w:caps/>
          <w:sz w:val="32"/>
          <w:szCs w:val="32"/>
        </w:rPr>
        <w:t>名。</w:t>
      </w:r>
    </w:p>
    <w:p w:rsidR="00F014A3" w:rsidRPr="00F212E7" w:rsidRDefault="00CD538F">
      <w:pPr>
        <w:ind w:firstLineChars="200" w:firstLine="460"/>
        <w:jc w:val="center"/>
        <w:rPr>
          <w:rFonts w:eastAsia="仿宋_GB2312"/>
          <w:sz w:val="32"/>
          <w:szCs w:val="32"/>
        </w:rPr>
      </w:pPr>
      <w:r w:rsidRPr="00F212E7">
        <w:rPr>
          <w:rFonts w:eastAsia="仿宋_GB2312"/>
          <w:kern w:val="0"/>
          <w:sz w:val="23"/>
          <w:szCs w:val="23"/>
        </w:rPr>
        <w:t>图</w:t>
      </w:r>
      <w:r w:rsidRPr="00F212E7">
        <w:rPr>
          <w:rFonts w:eastAsia="仿宋_GB2312"/>
          <w:kern w:val="0"/>
          <w:sz w:val="23"/>
          <w:szCs w:val="23"/>
        </w:rPr>
        <w:t>1</w:t>
      </w:r>
      <w:r w:rsidRPr="00F212E7">
        <w:rPr>
          <w:rFonts w:eastAsia="仿宋_GB2312" w:hint="eastAsia"/>
          <w:kern w:val="0"/>
          <w:sz w:val="23"/>
          <w:szCs w:val="23"/>
        </w:rPr>
        <w:t xml:space="preserve">3  </w:t>
      </w:r>
      <w:r w:rsidRPr="00F212E7">
        <w:rPr>
          <w:rFonts w:eastAsia="仿宋_GB2312"/>
          <w:kern w:val="0"/>
          <w:sz w:val="23"/>
          <w:szCs w:val="23"/>
        </w:rPr>
        <w:t>20</w:t>
      </w:r>
      <w:r w:rsidRPr="00F212E7">
        <w:rPr>
          <w:rFonts w:eastAsia="仿宋_GB2312" w:hint="eastAsia"/>
          <w:kern w:val="0"/>
          <w:sz w:val="23"/>
          <w:szCs w:val="23"/>
        </w:rPr>
        <w:t>2</w:t>
      </w:r>
      <w:r w:rsidR="009E3EAA">
        <w:rPr>
          <w:rFonts w:eastAsia="仿宋_GB2312" w:hint="eastAsia"/>
          <w:kern w:val="0"/>
          <w:sz w:val="23"/>
          <w:szCs w:val="23"/>
        </w:rPr>
        <w:t>1</w:t>
      </w:r>
      <w:r w:rsidRPr="00F212E7">
        <w:rPr>
          <w:rFonts w:eastAsia="仿宋_GB2312"/>
          <w:kern w:val="0"/>
          <w:sz w:val="23"/>
          <w:szCs w:val="23"/>
        </w:rPr>
        <w:t>-202</w:t>
      </w:r>
      <w:r w:rsidR="009E3EAA">
        <w:rPr>
          <w:rFonts w:eastAsia="仿宋_GB2312" w:hint="eastAsia"/>
          <w:kern w:val="0"/>
          <w:sz w:val="23"/>
          <w:szCs w:val="23"/>
        </w:rPr>
        <w:t>5</w:t>
      </w:r>
      <w:r w:rsidRPr="00F212E7">
        <w:rPr>
          <w:rFonts w:eastAsia="仿宋_GB2312"/>
          <w:kern w:val="0"/>
          <w:sz w:val="23"/>
          <w:szCs w:val="23"/>
        </w:rPr>
        <w:t>年全市中小学在校学生数</w:t>
      </w:r>
    </w:p>
    <w:p w:rsidR="00F014A3" w:rsidRPr="00F212E7" w:rsidRDefault="00235BCF" w:rsidP="00235BCF">
      <w:pPr>
        <w:ind w:firstLineChars="200" w:firstLine="420"/>
        <w:jc w:val="center"/>
        <w:rPr>
          <w:rFonts w:eastAsia="仿宋_GB2312"/>
          <w:sz w:val="32"/>
          <w:szCs w:val="32"/>
        </w:rPr>
      </w:pPr>
      <w:r w:rsidRPr="00F212E7">
        <w:rPr>
          <w:noProof/>
        </w:rPr>
        <w:drawing>
          <wp:inline distT="0" distB="0" distL="0" distR="0" wp14:anchorId="06C7A36D" wp14:editId="33D54C36">
            <wp:extent cx="4572000" cy="2895600"/>
            <wp:effectExtent l="0" t="0" r="19050" b="19050"/>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142D5C" w:rsidRPr="00F212E7" w:rsidRDefault="00142D5C" w:rsidP="00142D5C">
      <w:pPr>
        <w:spacing w:line="560" w:lineRule="exact"/>
        <w:ind w:firstLineChars="200" w:firstLine="640"/>
        <w:outlineLvl w:val="0"/>
        <w:rPr>
          <w:rFonts w:eastAsia="仿宋_GB2312"/>
          <w:bCs/>
          <w:caps/>
          <w:sz w:val="32"/>
          <w:szCs w:val="32"/>
        </w:rPr>
      </w:pPr>
      <w:r w:rsidRPr="00F212E7">
        <w:rPr>
          <w:rFonts w:eastAsia="仿宋_GB2312" w:hint="eastAsia"/>
          <w:bCs/>
          <w:caps/>
          <w:sz w:val="32"/>
          <w:szCs w:val="32"/>
        </w:rPr>
        <w:t>全年新培育国家高新技术企业</w:t>
      </w:r>
      <w:r w:rsidRPr="00F212E7">
        <w:rPr>
          <w:rFonts w:eastAsia="仿宋_GB2312" w:hint="eastAsia"/>
          <w:bCs/>
          <w:caps/>
          <w:sz w:val="32"/>
          <w:szCs w:val="32"/>
        </w:rPr>
        <w:t>50</w:t>
      </w:r>
      <w:r w:rsidRPr="00F212E7">
        <w:rPr>
          <w:rFonts w:eastAsia="仿宋_GB2312" w:hint="eastAsia"/>
          <w:bCs/>
          <w:caps/>
          <w:sz w:val="32"/>
          <w:szCs w:val="32"/>
        </w:rPr>
        <w:t>家，新认定省科技型中小企业</w:t>
      </w:r>
      <w:r w:rsidRPr="00F212E7">
        <w:rPr>
          <w:rFonts w:eastAsia="仿宋_GB2312" w:hint="eastAsia"/>
          <w:bCs/>
          <w:caps/>
          <w:sz w:val="32"/>
          <w:szCs w:val="32"/>
        </w:rPr>
        <w:t>407</w:t>
      </w:r>
      <w:r w:rsidRPr="00F212E7">
        <w:rPr>
          <w:rFonts w:eastAsia="仿宋_GB2312" w:hint="eastAsia"/>
          <w:bCs/>
          <w:caps/>
          <w:sz w:val="32"/>
          <w:szCs w:val="32"/>
        </w:rPr>
        <w:t>家；新认定省级重点企业研究院</w:t>
      </w:r>
      <w:r w:rsidRPr="00F212E7">
        <w:rPr>
          <w:rFonts w:eastAsia="仿宋_GB2312" w:hint="eastAsia"/>
          <w:bCs/>
          <w:caps/>
          <w:sz w:val="32"/>
          <w:szCs w:val="32"/>
        </w:rPr>
        <w:t>1</w:t>
      </w:r>
      <w:r w:rsidRPr="00F212E7">
        <w:rPr>
          <w:rFonts w:eastAsia="仿宋_GB2312" w:hint="eastAsia"/>
          <w:bCs/>
          <w:caps/>
          <w:sz w:val="32"/>
          <w:szCs w:val="32"/>
        </w:rPr>
        <w:t>家，省级企业研究院</w:t>
      </w:r>
      <w:r w:rsidRPr="00F212E7">
        <w:rPr>
          <w:rFonts w:eastAsia="仿宋_GB2312" w:hint="eastAsia"/>
          <w:bCs/>
          <w:caps/>
          <w:sz w:val="32"/>
          <w:szCs w:val="32"/>
        </w:rPr>
        <w:t>17</w:t>
      </w:r>
      <w:r w:rsidRPr="00F212E7">
        <w:rPr>
          <w:rFonts w:eastAsia="仿宋_GB2312" w:hint="eastAsia"/>
          <w:bCs/>
          <w:caps/>
          <w:sz w:val="32"/>
          <w:szCs w:val="32"/>
        </w:rPr>
        <w:t>家；新认定金华市企业研发中心</w:t>
      </w:r>
      <w:r w:rsidRPr="00F212E7">
        <w:rPr>
          <w:rFonts w:eastAsia="仿宋_GB2312" w:hint="eastAsia"/>
          <w:bCs/>
          <w:caps/>
          <w:sz w:val="32"/>
          <w:szCs w:val="32"/>
        </w:rPr>
        <w:t>84</w:t>
      </w:r>
      <w:r w:rsidRPr="00F212E7">
        <w:rPr>
          <w:rFonts w:eastAsia="仿宋_GB2312" w:hint="eastAsia"/>
          <w:bCs/>
          <w:caps/>
          <w:sz w:val="32"/>
          <w:szCs w:val="32"/>
        </w:rPr>
        <w:t>家。</w:t>
      </w:r>
    </w:p>
    <w:p w:rsidR="0038484B" w:rsidRPr="00F212E7" w:rsidRDefault="0038484B" w:rsidP="0038484B">
      <w:pPr>
        <w:spacing w:line="560" w:lineRule="exact"/>
        <w:ind w:firstLineChars="200" w:firstLine="640"/>
        <w:jc w:val="left"/>
        <w:outlineLvl w:val="0"/>
        <w:rPr>
          <w:rFonts w:eastAsia="仿宋_GB2312"/>
          <w:bCs/>
          <w:caps/>
          <w:sz w:val="32"/>
          <w:szCs w:val="32"/>
        </w:rPr>
      </w:pPr>
      <w:r w:rsidRPr="00F212E7">
        <w:rPr>
          <w:rFonts w:eastAsia="仿宋_GB2312" w:hint="eastAsia"/>
          <w:bCs/>
          <w:caps/>
          <w:sz w:val="32"/>
          <w:szCs w:val="32"/>
        </w:rPr>
        <w:t>全年授权专利</w:t>
      </w:r>
      <w:r w:rsidRPr="00F212E7">
        <w:rPr>
          <w:rFonts w:eastAsia="仿宋_GB2312" w:hint="eastAsia"/>
          <w:bCs/>
          <w:caps/>
          <w:sz w:val="32"/>
          <w:szCs w:val="32"/>
        </w:rPr>
        <w:t>8997</w:t>
      </w:r>
      <w:r w:rsidRPr="00F212E7">
        <w:rPr>
          <w:rFonts w:eastAsia="仿宋_GB2312" w:hint="eastAsia"/>
          <w:bCs/>
          <w:caps/>
          <w:sz w:val="32"/>
          <w:szCs w:val="32"/>
        </w:rPr>
        <w:t>件，其中发明专利授权</w:t>
      </w:r>
      <w:r w:rsidRPr="00F212E7">
        <w:rPr>
          <w:rFonts w:eastAsia="仿宋_GB2312" w:hint="eastAsia"/>
          <w:bCs/>
          <w:caps/>
          <w:sz w:val="32"/>
          <w:szCs w:val="32"/>
        </w:rPr>
        <w:t>345</w:t>
      </w:r>
      <w:r w:rsidRPr="00F212E7">
        <w:rPr>
          <w:rFonts w:eastAsia="仿宋_GB2312" w:hint="eastAsia"/>
          <w:bCs/>
          <w:caps/>
          <w:sz w:val="32"/>
          <w:szCs w:val="32"/>
        </w:rPr>
        <w:t>件。</w:t>
      </w:r>
    </w:p>
    <w:p w:rsidR="00F014A3" w:rsidRPr="00F212E7" w:rsidRDefault="00CD538F" w:rsidP="00FB4CFD">
      <w:pPr>
        <w:spacing w:line="560" w:lineRule="exact"/>
        <w:ind w:firstLineChars="200" w:firstLine="723"/>
        <w:outlineLvl w:val="0"/>
        <w:rPr>
          <w:rFonts w:eastAsia="仿宋_GB2312"/>
          <w:b/>
          <w:sz w:val="36"/>
        </w:rPr>
      </w:pPr>
      <w:r w:rsidRPr="00F212E7">
        <w:rPr>
          <w:rFonts w:eastAsia="仿宋_GB2312"/>
          <w:b/>
          <w:sz w:val="36"/>
        </w:rPr>
        <w:t>十、文化、体育和卫生</w:t>
      </w:r>
    </w:p>
    <w:p w:rsidR="00134B51" w:rsidRPr="00F212E7" w:rsidRDefault="00134B51" w:rsidP="00134B51">
      <w:pPr>
        <w:spacing w:line="560" w:lineRule="exact"/>
        <w:ind w:firstLineChars="200" w:firstLine="640"/>
        <w:outlineLvl w:val="0"/>
        <w:rPr>
          <w:rFonts w:eastAsia="仿宋_GB2312"/>
          <w:bCs/>
          <w:caps/>
          <w:sz w:val="32"/>
          <w:szCs w:val="32"/>
        </w:rPr>
      </w:pPr>
      <w:r w:rsidRPr="00F212E7">
        <w:rPr>
          <w:rFonts w:eastAsia="仿宋_GB2312" w:hint="eastAsia"/>
          <w:bCs/>
          <w:caps/>
          <w:sz w:val="32"/>
          <w:szCs w:val="32"/>
        </w:rPr>
        <w:t>扎实推进第四次文物普查，成功获批全省首个集中连片考古前置试点，有序推进桥头遗址考古，建成义乌考古工作站。新增金华市级非物质文化遗产代表性项目</w:t>
      </w:r>
      <w:r w:rsidRPr="00F212E7">
        <w:rPr>
          <w:rFonts w:eastAsia="仿宋_GB2312" w:hint="eastAsia"/>
          <w:bCs/>
          <w:caps/>
          <w:sz w:val="32"/>
          <w:szCs w:val="32"/>
        </w:rPr>
        <w:t>6</w:t>
      </w:r>
      <w:r w:rsidRPr="00F212E7">
        <w:rPr>
          <w:rFonts w:eastAsia="仿宋_GB2312" w:hint="eastAsia"/>
          <w:bCs/>
          <w:caps/>
          <w:sz w:val="32"/>
          <w:szCs w:val="32"/>
        </w:rPr>
        <w:t>项、金华市级非遗传承人</w:t>
      </w:r>
      <w:r w:rsidRPr="00F212E7">
        <w:rPr>
          <w:rFonts w:eastAsia="仿宋_GB2312" w:hint="eastAsia"/>
          <w:bCs/>
          <w:caps/>
          <w:sz w:val="32"/>
          <w:szCs w:val="32"/>
        </w:rPr>
        <w:t>10</w:t>
      </w:r>
      <w:r w:rsidRPr="00F212E7">
        <w:rPr>
          <w:rFonts w:eastAsia="仿宋_GB2312" w:hint="eastAsia"/>
          <w:bCs/>
          <w:caps/>
          <w:sz w:val="32"/>
          <w:szCs w:val="32"/>
        </w:rPr>
        <w:t>人。完成婺剧《义乌“六义”》等各类文艺作品创作</w:t>
      </w:r>
      <w:r w:rsidRPr="00F212E7">
        <w:rPr>
          <w:rFonts w:eastAsia="仿宋_GB2312" w:hint="eastAsia"/>
          <w:bCs/>
          <w:caps/>
          <w:sz w:val="32"/>
          <w:szCs w:val="32"/>
        </w:rPr>
        <w:t>80</w:t>
      </w:r>
      <w:r w:rsidRPr="00F212E7">
        <w:rPr>
          <w:rFonts w:eastAsia="仿宋_GB2312" w:hint="eastAsia"/>
          <w:bCs/>
          <w:caps/>
          <w:sz w:val="32"/>
          <w:szCs w:val="32"/>
        </w:rPr>
        <w:t>余项，舞蹈《鸡毛飞上天》、道情《两块巧克力》等</w:t>
      </w:r>
      <w:r w:rsidRPr="00F212E7">
        <w:rPr>
          <w:rFonts w:eastAsia="仿宋_GB2312" w:hint="eastAsia"/>
          <w:bCs/>
          <w:caps/>
          <w:sz w:val="32"/>
          <w:szCs w:val="32"/>
        </w:rPr>
        <w:t>70</w:t>
      </w:r>
      <w:r w:rsidRPr="00F212E7">
        <w:rPr>
          <w:rFonts w:eastAsia="仿宋_GB2312" w:hint="eastAsia"/>
          <w:bCs/>
          <w:caps/>
          <w:sz w:val="32"/>
          <w:szCs w:val="32"/>
        </w:rPr>
        <w:t>余件文艺作品斩获省级以上奖项，“六义”系</w:t>
      </w:r>
      <w:r w:rsidRPr="00F212E7">
        <w:rPr>
          <w:rFonts w:eastAsia="仿宋_GB2312" w:hint="eastAsia"/>
          <w:bCs/>
          <w:caps/>
          <w:sz w:val="32"/>
          <w:szCs w:val="32"/>
        </w:rPr>
        <w:lastRenderedPageBreak/>
        <w:t>列文创获“浙派好礼”金奖。</w:t>
      </w:r>
    </w:p>
    <w:p w:rsidR="00134B51" w:rsidRPr="00F212E7" w:rsidRDefault="00134B51" w:rsidP="00134B51">
      <w:pPr>
        <w:spacing w:line="560" w:lineRule="exact"/>
        <w:ind w:firstLineChars="200" w:firstLine="640"/>
        <w:outlineLvl w:val="0"/>
        <w:rPr>
          <w:rFonts w:eastAsia="仿宋_GB2312"/>
          <w:bCs/>
          <w:caps/>
          <w:sz w:val="32"/>
          <w:szCs w:val="32"/>
        </w:rPr>
      </w:pPr>
      <w:r w:rsidRPr="00F212E7">
        <w:rPr>
          <w:rFonts w:eastAsia="仿宋_GB2312" w:hint="eastAsia"/>
          <w:bCs/>
          <w:caps/>
          <w:sz w:val="32"/>
          <w:szCs w:val="32"/>
        </w:rPr>
        <w:t>全市拥有体育场地</w:t>
      </w:r>
      <w:r w:rsidRPr="00F212E7">
        <w:rPr>
          <w:rFonts w:eastAsia="仿宋_GB2312" w:hint="eastAsia"/>
          <w:bCs/>
          <w:caps/>
          <w:sz w:val="32"/>
          <w:szCs w:val="32"/>
        </w:rPr>
        <w:t>5783</w:t>
      </w:r>
      <w:r w:rsidRPr="00F212E7">
        <w:rPr>
          <w:rFonts w:eastAsia="仿宋_GB2312" w:hint="eastAsia"/>
          <w:bCs/>
          <w:caps/>
          <w:sz w:val="32"/>
          <w:szCs w:val="32"/>
        </w:rPr>
        <w:t>个，体育场地面积共计</w:t>
      </w:r>
      <w:r w:rsidRPr="00F212E7">
        <w:rPr>
          <w:rFonts w:eastAsia="仿宋_GB2312" w:hint="eastAsia"/>
          <w:bCs/>
          <w:caps/>
          <w:sz w:val="32"/>
          <w:szCs w:val="32"/>
        </w:rPr>
        <w:t>577.01</w:t>
      </w:r>
      <w:r w:rsidRPr="00F212E7">
        <w:rPr>
          <w:rFonts w:eastAsia="仿宋_GB2312" w:hint="eastAsia"/>
          <w:bCs/>
          <w:caps/>
          <w:sz w:val="32"/>
          <w:szCs w:val="32"/>
        </w:rPr>
        <w:t>平方米。完成</w:t>
      </w:r>
      <w:r w:rsidRPr="00F212E7">
        <w:rPr>
          <w:rFonts w:eastAsia="仿宋_GB2312" w:hint="eastAsia"/>
          <w:bCs/>
          <w:caps/>
          <w:sz w:val="32"/>
          <w:szCs w:val="32"/>
        </w:rPr>
        <w:t>293</w:t>
      </w:r>
      <w:r w:rsidRPr="00F212E7">
        <w:rPr>
          <w:rFonts w:eastAsia="仿宋_GB2312" w:hint="eastAsia"/>
          <w:bCs/>
          <w:caps/>
          <w:sz w:val="32"/>
          <w:szCs w:val="32"/>
        </w:rPr>
        <w:t>个基层体育场地设施建设及</w:t>
      </w:r>
      <w:r w:rsidRPr="00F212E7">
        <w:rPr>
          <w:rFonts w:eastAsia="仿宋_GB2312" w:hint="eastAsia"/>
          <w:bCs/>
          <w:caps/>
          <w:sz w:val="32"/>
          <w:szCs w:val="32"/>
        </w:rPr>
        <w:t>293</w:t>
      </w:r>
      <w:r w:rsidRPr="00F212E7">
        <w:rPr>
          <w:rFonts w:eastAsia="仿宋_GB2312" w:hint="eastAsia"/>
          <w:bCs/>
          <w:caps/>
          <w:sz w:val="32"/>
          <w:szCs w:val="32"/>
        </w:rPr>
        <w:t>场群众身边的全民健身体育赛事活动，新建“环义步道”</w:t>
      </w:r>
      <w:r w:rsidRPr="00F212E7">
        <w:rPr>
          <w:rFonts w:eastAsia="仿宋_GB2312" w:hint="eastAsia"/>
          <w:bCs/>
          <w:caps/>
          <w:sz w:val="32"/>
          <w:szCs w:val="32"/>
        </w:rPr>
        <w:t>50</w:t>
      </w:r>
      <w:r w:rsidRPr="00F212E7">
        <w:rPr>
          <w:rFonts w:eastAsia="仿宋_GB2312" w:hint="eastAsia"/>
          <w:bCs/>
          <w:caps/>
          <w:sz w:val="32"/>
          <w:szCs w:val="32"/>
        </w:rPr>
        <w:t>公里。全年体育彩票销售额达</w:t>
      </w:r>
      <w:r w:rsidRPr="00F212E7">
        <w:rPr>
          <w:rFonts w:eastAsia="仿宋_GB2312" w:hint="eastAsia"/>
          <w:bCs/>
          <w:caps/>
          <w:sz w:val="32"/>
          <w:szCs w:val="32"/>
        </w:rPr>
        <w:t>13.57</w:t>
      </w:r>
      <w:r w:rsidRPr="00F212E7">
        <w:rPr>
          <w:rFonts w:eastAsia="仿宋_GB2312" w:hint="eastAsia"/>
          <w:bCs/>
          <w:caps/>
          <w:sz w:val="32"/>
          <w:szCs w:val="32"/>
        </w:rPr>
        <w:t>亿元，位列全国县级市第</w:t>
      </w:r>
      <w:r w:rsidRPr="00F212E7">
        <w:rPr>
          <w:rFonts w:eastAsia="仿宋_GB2312" w:hint="eastAsia"/>
          <w:bCs/>
          <w:caps/>
          <w:sz w:val="32"/>
          <w:szCs w:val="32"/>
        </w:rPr>
        <w:t>1</w:t>
      </w:r>
      <w:r w:rsidRPr="00F212E7">
        <w:rPr>
          <w:rFonts w:eastAsia="仿宋_GB2312" w:hint="eastAsia"/>
          <w:bCs/>
          <w:caps/>
          <w:sz w:val="32"/>
          <w:szCs w:val="32"/>
        </w:rPr>
        <w:t>。</w:t>
      </w:r>
    </w:p>
    <w:p w:rsidR="0002493D" w:rsidRPr="00F212E7" w:rsidRDefault="0002493D" w:rsidP="0002493D">
      <w:pPr>
        <w:spacing w:line="560" w:lineRule="exact"/>
        <w:ind w:firstLineChars="200" w:firstLine="640"/>
        <w:outlineLvl w:val="0"/>
        <w:rPr>
          <w:rFonts w:eastAsia="仿宋_GB2312"/>
          <w:bCs/>
          <w:caps/>
          <w:sz w:val="32"/>
          <w:szCs w:val="32"/>
        </w:rPr>
      </w:pPr>
      <w:bookmarkStart w:id="66" w:name="OLE_LINK64"/>
      <w:r w:rsidRPr="00F212E7">
        <w:rPr>
          <w:rFonts w:eastAsia="仿宋_GB2312" w:hint="eastAsia"/>
          <w:bCs/>
          <w:caps/>
          <w:sz w:val="32"/>
          <w:szCs w:val="32"/>
        </w:rPr>
        <w:t>年末全市卫生机构</w:t>
      </w:r>
      <w:r w:rsidRPr="00F212E7">
        <w:rPr>
          <w:rFonts w:eastAsia="仿宋_GB2312" w:hint="eastAsia"/>
          <w:bCs/>
          <w:caps/>
          <w:sz w:val="32"/>
          <w:szCs w:val="32"/>
        </w:rPr>
        <w:t>1342</w:t>
      </w:r>
      <w:r w:rsidRPr="00F212E7">
        <w:rPr>
          <w:rFonts w:eastAsia="仿宋_GB2312" w:hint="eastAsia"/>
          <w:bCs/>
          <w:caps/>
          <w:sz w:val="32"/>
          <w:szCs w:val="32"/>
        </w:rPr>
        <w:t>家，其中，医院</w:t>
      </w:r>
      <w:r w:rsidRPr="00F212E7">
        <w:rPr>
          <w:rFonts w:eastAsia="仿宋_GB2312" w:hint="eastAsia"/>
          <w:bCs/>
          <w:caps/>
          <w:sz w:val="32"/>
          <w:szCs w:val="32"/>
        </w:rPr>
        <w:t>47</w:t>
      </w:r>
      <w:r w:rsidRPr="00F212E7">
        <w:rPr>
          <w:rFonts w:eastAsia="仿宋_GB2312" w:hint="eastAsia"/>
          <w:bCs/>
          <w:caps/>
          <w:sz w:val="32"/>
          <w:szCs w:val="32"/>
        </w:rPr>
        <w:t>家、街道社区卫生服务中心（含镇中心卫生院）</w:t>
      </w:r>
      <w:r w:rsidRPr="00F212E7">
        <w:rPr>
          <w:rFonts w:eastAsia="仿宋_GB2312" w:hint="eastAsia"/>
          <w:bCs/>
          <w:caps/>
          <w:sz w:val="32"/>
          <w:szCs w:val="32"/>
        </w:rPr>
        <w:t>14</w:t>
      </w:r>
      <w:r w:rsidRPr="00F212E7">
        <w:rPr>
          <w:rFonts w:eastAsia="仿宋_GB2312" w:hint="eastAsia"/>
          <w:bCs/>
          <w:caps/>
          <w:sz w:val="32"/>
          <w:szCs w:val="32"/>
        </w:rPr>
        <w:t>家，门诊部</w:t>
      </w:r>
      <w:r w:rsidRPr="00F212E7">
        <w:rPr>
          <w:rFonts w:eastAsia="仿宋_GB2312" w:hint="eastAsia"/>
          <w:bCs/>
          <w:caps/>
          <w:sz w:val="32"/>
          <w:szCs w:val="32"/>
        </w:rPr>
        <w:t>135</w:t>
      </w:r>
      <w:r w:rsidRPr="00F212E7">
        <w:rPr>
          <w:rFonts w:eastAsia="仿宋_GB2312" w:hint="eastAsia"/>
          <w:bCs/>
          <w:caps/>
          <w:sz w:val="32"/>
          <w:szCs w:val="32"/>
        </w:rPr>
        <w:t>家、诊所（医务室）</w:t>
      </w:r>
      <w:r w:rsidRPr="00F212E7">
        <w:rPr>
          <w:rFonts w:eastAsia="仿宋_GB2312" w:hint="eastAsia"/>
          <w:bCs/>
          <w:caps/>
          <w:sz w:val="32"/>
          <w:szCs w:val="32"/>
        </w:rPr>
        <w:t>899</w:t>
      </w:r>
      <w:r w:rsidRPr="00F212E7">
        <w:rPr>
          <w:rFonts w:eastAsia="仿宋_GB2312" w:hint="eastAsia"/>
          <w:bCs/>
          <w:caps/>
          <w:sz w:val="32"/>
          <w:szCs w:val="32"/>
        </w:rPr>
        <w:t>家、村卫生室</w:t>
      </w:r>
      <w:r w:rsidRPr="00F212E7">
        <w:rPr>
          <w:rFonts w:eastAsia="仿宋_GB2312" w:hint="eastAsia"/>
          <w:bCs/>
          <w:caps/>
          <w:sz w:val="32"/>
          <w:szCs w:val="32"/>
        </w:rPr>
        <w:t>175</w:t>
      </w:r>
      <w:r w:rsidRPr="00F212E7">
        <w:rPr>
          <w:rFonts w:eastAsia="仿宋_GB2312" w:hint="eastAsia"/>
          <w:bCs/>
          <w:caps/>
          <w:sz w:val="32"/>
          <w:szCs w:val="32"/>
        </w:rPr>
        <w:t>家、社区卫生服务站</w:t>
      </w:r>
      <w:r w:rsidRPr="00F212E7">
        <w:rPr>
          <w:rFonts w:eastAsia="仿宋_GB2312" w:hint="eastAsia"/>
          <w:bCs/>
          <w:caps/>
          <w:sz w:val="32"/>
          <w:szCs w:val="32"/>
        </w:rPr>
        <w:t>63</w:t>
      </w:r>
      <w:r w:rsidRPr="00F212E7">
        <w:rPr>
          <w:rFonts w:eastAsia="仿宋_GB2312" w:hint="eastAsia"/>
          <w:bCs/>
          <w:caps/>
          <w:sz w:val="32"/>
          <w:szCs w:val="32"/>
        </w:rPr>
        <w:t>个，疾病预防控制中心等卫生单位</w:t>
      </w:r>
      <w:r w:rsidRPr="00F212E7">
        <w:rPr>
          <w:rFonts w:eastAsia="仿宋_GB2312" w:hint="eastAsia"/>
          <w:bCs/>
          <w:caps/>
          <w:sz w:val="32"/>
          <w:szCs w:val="32"/>
        </w:rPr>
        <w:t>7</w:t>
      </w:r>
      <w:r w:rsidRPr="00F212E7">
        <w:rPr>
          <w:rFonts w:eastAsia="仿宋_GB2312" w:hint="eastAsia"/>
          <w:bCs/>
          <w:caps/>
          <w:sz w:val="32"/>
          <w:szCs w:val="32"/>
        </w:rPr>
        <w:t>家。年末卫生技术人员</w:t>
      </w:r>
      <w:r w:rsidRPr="00F212E7">
        <w:rPr>
          <w:rFonts w:eastAsia="仿宋_GB2312" w:hint="eastAsia"/>
          <w:bCs/>
          <w:caps/>
          <w:sz w:val="32"/>
          <w:szCs w:val="32"/>
        </w:rPr>
        <w:t>18218</w:t>
      </w:r>
      <w:r w:rsidRPr="00F212E7">
        <w:rPr>
          <w:rFonts w:eastAsia="仿宋_GB2312" w:hint="eastAsia"/>
          <w:bCs/>
          <w:caps/>
          <w:sz w:val="32"/>
          <w:szCs w:val="32"/>
        </w:rPr>
        <w:t>人，比上年末增长</w:t>
      </w:r>
      <w:r w:rsidRPr="00F212E7">
        <w:rPr>
          <w:rFonts w:eastAsia="仿宋_GB2312" w:hint="eastAsia"/>
          <w:bCs/>
          <w:caps/>
          <w:sz w:val="32"/>
          <w:szCs w:val="32"/>
        </w:rPr>
        <w:t>3.62%</w:t>
      </w:r>
      <w:r w:rsidRPr="00F212E7">
        <w:rPr>
          <w:rFonts w:eastAsia="仿宋_GB2312" w:hint="eastAsia"/>
          <w:bCs/>
          <w:caps/>
          <w:sz w:val="32"/>
          <w:szCs w:val="32"/>
        </w:rPr>
        <w:t>，其中，执业（助理）医师</w:t>
      </w:r>
      <w:r w:rsidRPr="00F212E7">
        <w:rPr>
          <w:rFonts w:eastAsia="仿宋_GB2312" w:hint="eastAsia"/>
          <w:bCs/>
          <w:caps/>
          <w:sz w:val="32"/>
          <w:szCs w:val="32"/>
        </w:rPr>
        <w:t>7642</w:t>
      </w:r>
      <w:r w:rsidRPr="00F212E7">
        <w:rPr>
          <w:rFonts w:eastAsia="仿宋_GB2312" w:hint="eastAsia"/>
          <w:bCs/>
          <w:caps/>
          <w:sz w:val="32"/>
          <w:szCs w:val="32"/>
        </w:rPr>
        <w:t>人，注册护士</w:t>
      </w:r>
      <w:r w:rsidRPr="00F212E7">
        <w:rPr>
          <w:rFonts w:eastAsia="仿宋_GB2312" w:hint="eastAsia"/>
          <w:bCs/>
          <w:caps/>
          <w:sz w:val="32"/>
          <w:szCs w:val="32"/>
        </w:rPr>
        <w:t>9600</w:t>
      </w:r>
      <w:r w:rsidRPr="00F212E7">
        <w:rPr>
          <w:rFonts w:eastAsia="仿宋_GB2312" w:hint="eastAsia"/>
          <w:bCs/>
          <w:caps/>
          <w:sz w:val="32"/>
          <w:szCs w:val="32"/>
        </w:rPr>
        <w:t>人，分别增长</w:t>
      </w:r>
      <w:r w:rsidRPr="00F212E7">
        <w:rPr>
          <w:rFonts w:eastAsia="仿宋_GB2312" w:hint="eastAsia"/>
          <w:bCs/>
          <w:caps/>
          <w:sz w:val="32"/>
          <w:szCs w:val="32"/>
        </w:rPr>
        <w:t>3.99%</w:t>
      </w:r>
      <w:r w:rsidRPr="00F212E7">
        <w:rPr>
          <w:rFonts w:eastAsia="仿宋_GB2312" w:hint="eastAsia"/>
          <w:bCs/>
          <w:caps/>
          <w:sz w:val="32"/>
          <w:szCs w:val="32"/>
        </w:rPr>
        <w:t>和</w:t>
      </w:r>
      <w:r w:rsidRPr="00F212E7">
        <w:rPr>
          <w:rFonts w:eastAsia="仿宋_GB2312" w:hint="eastAsia"/>
          <w:bCs/>
          <w:caps/>
          <w:sz w:val="32"/>
          <w:szCs w:val="32"/>
        </w:rPr>
        <w:t>14.81%</w:t>
      </w:r>
      <w:r w:rsidRPr="00F212E7">
        <w:rPr>
          <w:rFonts w:eastAsia="仿宋_GB2312" w:hint="eastAsia"/>
          <w:bCs/>
          <w:caps/>
          <w:sz w:val="32"/>
          <w:szCs w:val="32"/>
        </w:rPr>
        <w:t>。核定床位数</w:t>
      </w:r>
      <w:bookmarkStart w:id="67" w:name="OLE_LINK16"/>
      <w:bookmarkStart w:id="68" w:name="OLE_LINK17"/>
      <w:r w:rsidRPr="00F212E7">
        <w:rPr>
          <w:rFonts w:eastAsia="仿宋_GB2312" w:hint="eastAsia"/>
          <w:bCs/>
          <w:caps/>
          <w:sz w:val="32"/>
          <w:szCs w:val="32"/>
        </w:rPr>
        <w:t>10236</w:t>
      </w:r>
      <w:bookmarkEnd w:id="67"/>
      <w:bookmarkEnd w:id="68"/>
      <w:r w:rsidRPr="00F212E7">
        <w:rPr>
          <w:rFonts w:eastAsia="仿宋_GB2312" w:hint="eastAsia"/>
          <w:bCs/>
          <w:caps/>
          <w:sz w:val="32"/>
          <w:szCs w:val="32"/>
        </w:rPr>
        <w:t>张，其中三级以上医院床位数</w:t>
      </w:r>
      <w:r w:rsidRPr="00F212E7">
        <w:rPr>
          <w:rFonts w:eastAsia="仿宋_GB2312" w:hint="eastAsia"/>
          <w:bCs/>
          <w:caps/>
          <w:sz w:val="32"/>
          <w:szCs w:val="32"/>
        </w:rPr>
        <w:t>3690</w:t>
      </w:r>
      <w:r w:rsidRPr="00F212E7">
        <w:rPr>
          <w:rFonts w:eastAsia="仿宋_GB2312" w:hint="eastAsia"/>
          <w:bCs/>
          <w:caps/>
          <w:sz w:val="32"/>
          <w:szCs w:val="32"/>
        </w:rPr>
        <w:t>张。全年医院总诊疗</w:t>
      </w:r>
      <w:r w:rsidRPr="00F212E7">
        <w:rPr>
          <w:rFonts w:eastAsia="仿宋_GB2312" w:hint="eastAsia"/>
          <w:bCs/>
          <w:caps/>
          <w:sz w:val="32"/>
          <w:szCs w:val="32"/>
        </w:rPr>
        <w:t>2239.95</w:t>
      </w:r>
      <w:r w:rsidRPr="00F212E7">
        <w:rPr>
          <w:rFonts w:eastAsia="仿宋_GB2312" w:hint="eastAsia"/>
          <w:bCs/>
          <w:caps/>
          <w:sz w:val="32"/>
          <w:szCs w:val="32"/>
        </w:rPr>
        <w:t>万人次，增长</w:t>
      </w:r>
      <w:r w:rsidRPr="00F212E7">
        <w:rPr>
          <w:rFonts w:eastAsia="仿宋_GB2312" w:hint="eastAsia"/>
          <w:bCs/>
          <w:caps/>
          <w:sz w:val="32"/>
          <w:szCs w:val="32"/>
        </w:rPr>
        <w:t>3.11%</w:t>
      </w:r>
      <w:r w:rsidRPr="00F212E7">
        <w:rPr>
          <w:rFonts w:eastAsia="仿宋_GB2312" w:hint="eastAsia"/>
          <w:bCs/>
          <w:caps/>
          <w:sz w:val="32"/>
          <w:szCs w:val="32"/>
        </w:rPr>
        <w:t>。</w:t>
      </w:r>
      <w:bookmarkEnd w:id="66"/>
    </w:p>
    <w:p w:rsidR="00F014A3" w:rsidRPr="00F212E7" w:rsidRDefault="00CD538F">
      <w:pPr>
        <w:ind w:firstLineChars="200" w:firstLine="460"/>
        <w:jc w:val="center"/>
        <w:rPr>
          <w:rFonts w:eastAsia="仿宋_GB2312"/>
          <w:sz w:val="32"/>
          <w:szCs w:val="32"/>
        </w:rPr>
      </w:pPr>
      <w:r w:rsidRPr="00F212E7">
        <w:rPr>
          <w:rFonts w:eastAsia="仿宋_GB2312"/>
          <w:kern w:val="0"/>
          <w:sz w:val="23"/>
          <w:szCs w:val="23"/>
        </w:rPr>
        <w:t>图</w:t>
      </w:r>
      <w:r w:rsidRPr="00F212E7">
        <w:rPr>
          <w:rFonts w:eastAsia="仿宋_GB2312"/>
          <w:kern w:val="0"/>
          <w:sz w:val="23"/>
          <w:szCs w:val="23"/>
        </w:rPr>
        <w:t>1</w:t>
      </w:r>
      <w:r w:rsidRPr="00F212E7">
        <w:rPr>
          <w:rFonts w:eastAsia="仿宋_GB2312" w:hint="eastAsia"/>
          <w:kern w:val="0"/>
          <w:sz w:val="23"/>
          <w:szCs w:val="23"/>
        </w:rPr>
        <w:t xml:space="preserve">4  </w:t>
      </w:r>
      <w:r w:rsidRPr="00F212E7">
        <w:rPr>
          <w:rFonts w:eastAsia="仿宋_GB2312"/>
          <w:kern w:val="0"/>
          <w:sz w:val="23"/>
          <w:szCs w:val="23"/>
        </w:rPr>
        <w:t>20</w:t>
      </w:r>
      <w:r w:rsidRPr="00F212E7">
        <w:rPr>
          <w:rFonts w:eastAsia="仿宋_GB2312" w:hint="eastAsia"/>
          <w:kern w:val="0"/>
          <w:sz w:val="23"/>
          <w:szCs w:val="23"/>
        </w:rPr>
        <w:t>2</w:t>
      </w:r>
      <w:r w:rsidR="00DB6F51" w:rsidRPr="00F212E7">
        <w:rPr>
          <w:rFonts w:eastAsia="仿宋_GB2312" w:hint="eastAsia"/>
          <w:kern w:val="0"/>
          <w:sz w:val="23"/>
          <w:szCs w:val="23"/>
        </w:rPr>
        <w:t>1</w:t>
      </w:r>
      <w:r w:rsidRPr="00F212E7">
        <w:rPr>
          <w:rFonts w:eastAsia="仿宋_GB2312"/>
          <w:kern w:val="0"/>
          <w:sz w:val="23"/>
          <w:szCs w:val="23"/>
        </w:rPr>
        <w:t>-202</w:t>
      </w:r>
      <w:r w:rsidR="00DB6F51" w:rsidRPr="00F212E7">
        <w:rPr>
          <w:rFonts w:eastAsia="仿宋_GB2312" w:hint="eastAsia"/>
          <w:kern w:val="0"/>
          <w:sz w:val="23"/>
          <w:szCs w:val="23"/>
        </w:rPr>
        <w:t>5</w:t>
      </w:r>
      <w:r w:rsidRPr="00F212E7">
        <w:rPr>
          <w:rFonts w:eastAsia="仿宋_GB2312"/>
          <w:kern w:val="0"/>
          <w:sz w:val="23"/>
          <w:szCs w:val="23"/>
        </w:rPr>
        <w:t>年</w:t>
      </w:r>
      <w:r w:rsidRPr="00F212E7">
        <w:rPr>
          <w:rFonts w:eastAsia="仿宋_GB2312" w:hint="eastAsia"/>
          <w:kern w:val="0"/>
          <w:sz w:val="23"/>
          <w:szCs w:val="23"/>
        </w:rPr>
        <w:t>卫生机构</w:t>
      </w:r>
      <w:r w:rsidRPr="00F212E7">
        <w:rPr>
          <w:rFonts w:eastAsia="仿宋_GB2312"/>
          <w:kern w:val="0"/>
          <w:sz w:val="23"/>
          <w:szCs w:val="23"/>
        </w:rPr>
        <w:t>床位数及医生数</w:t>
      </w:r>
    </w:p>
    <w:p w:rsidR="00F014A3" w:rsidRPr="00F212E7" w:rsidRDefault="00DB6F51" w:rsidP="00DB6F51">
      <w:pPr>
        <w:ind w:firstLineChars="200" w:firstLine="420"/>
        <w:jc w:val="center"/>
        <w:rPr>
          <w:rFonts w:eastAsia="仿宋_GB2312"/>
          <w:sz w:val="32"/>
          <w:szCs w:val="32"/>
        </w:rPr>
      </w:pPr>
      <w:r w:rsidRPr="00F212E7">
        <w:rPr>
          <w:noProof/>
        </w:rPr>
        <w:drawing>
          <wp:inline distT="0" distB="0" distL="0" distR="0" wp14:anchorId="18D995A0" wp14:editId="6E4DE514">
            <wp:extent cx="4572000" cy="2895600"/>
            <wp:effectExtent l="0" t="0" r="19050" b="19050"/>
            <wp:docPr id="30" name="图表 30"/>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F014A3" w:rsidRPr="00F212E7" w:rsidRDefault="00CD538F" w:rsidP="00FB4CFD">
      <w:pPr>
        <w:spacing w:line="560" w:lineRule="exact"/>
        <w:ind w:firstLineChars="200" w:firstLine="723"/>
        <w:jc w:val="left"/>
        <w:outlineLvl w:val="0"/>
        <w:rPr>
          <w:rFonts w:eastAsia="仿宋_GB2312"/>
          <w:b/>
          <w:sz w:val="36"/>
          <w:szCs w:val="36"/>
        </w:rPr>
      </w:pPr>
      <w:r w:rsidRPr="00F212E7">
        <w:rPr>
          <w:rFonts w:eastAsia="仿宋_GB2312"/>
          <w:b/>
          <w:sz w:val="36"/>
          <w:szCs w:val="36"/>
        </w:rPr>
        <w:t>十一、城市建设和环境保护</w:t>
      </w:r>
    </w:p>
    <w:p w:rsidR="00F014A3" w:rsidRPr="00F212E7" w:rsidRDefault="00CD538F">
      <w:pPr>
        <w:spacing w:line="560" w:lineRule="exact"/>
        <w:ind w:firstLineChars="200" w:firstLine="640"/>
        <w:outlineLvl w:val="0"/>
        <w:rPr>
          <w:rFonts w:eastAsia="仿宋_GB2312"/>
          <w:bCs/>
          <w:caps/>
          <w:sz w:val="32"/>
          <w:szCs w:val="32"/>
        </w:rPr>
      </w:pPr>
      <w:r w:rsidRPr="00F212E7">
        <w:rPr>
          <w:rFonts w:eastAsia="仿宋_GB2312"/>
          <w:bCs/>
          <w:caps/>
          <w:sz w:val="32"/>
          <w:szCs w:val="32"/>
        </w:rPr>
        <w:t>年末建成区面积达到</w:t>
      </w:r>
      <w:r w:rsidR="00F90723" w:rsidRPr="00F212E7">
        <w:rPr>
          <w:rFonts w:eastAsia="仿宋_GB2312" w:hint="eastAsia"/>
          <w:bCs/>
          <w:caps/>
          <w:sz w:val="32"/>
          <w:szCs w:val="32"/>
        </w:rPr>
        <w:t>116.48</w:t>
      </w:r>
      <w:r w:rsidRPr="00F212E7">
        <w:rPr>
          <w:rFonts w:eastAsia="仿宋_GB2312"/>
          <w:bCs/>
          <w:caps/>
          <w:sz w:val="32"/>
          <w:szCs w:val="32"/>
        </w:rPr>
        <w:t>平方公里。</w:t>
      </w:r>
      <w:r w:rsidRPr="00F212E7">
        <w:rPr>
          <w:rFonts w:eastAsia="仿宋_GB2312" w:hint="eastAsia"/>
          <w:bCs/>
          <w:caps/>
          <w:sz w:val="32"/>
          <w:szCs w:val="32"/>
        </w:rPr>
        <w:t>城市基础设施不</w:t>
      </w:r>
      <w:r w:rsidRPr="00F212E7">
        <w:rPr>
          <w:rFonts w:eastAsia="仿宋_GB2312" w:hint="eastAsia"/>
          <w:bCs/>
          <w:caps/>
          <w:sz w:val="32"/>
          <w:szCs w:val="32"/>
        </w:rPr>
        <w:lastRenderedPageBreak/>
        <w:t>断完善，实有建成区城市道路面积约</w:t>
      </w:r>
      <w:bookmarkStart w:id="69" w:name="OLE_LINK23"/>
      <w:bookmarkStart w:id="70" w:name="OLE_LINK24"/>
      <w:r w:rsidR="00F90723" w:rsidRPr="00F212E7">
        <w:rPr>
          <w:rFonts w:eastAsia="仿宋_GB2312"/>
          <w:bCs/>
          <w:caps/>
          <w:sz w:val="32"/>
          <w:szCs w:val="32"/>
        </w:rPr>
        <w:t>3263.56</w:t>
      </w:r>
      <w:bookmarkEnd w:id="69"/>
      <w:bookmarkEnd w:id="70"/>
      <w:r w:rsidRPr="00F212E7">
        <w:rPr>
          <w:rFonts w:eastAsia="仿宋_GB2312" w:hint="eastAsia"/>
          <w:bCs/>
          <w:caps/>
          <w:sz w:val="32"/>
          <w:szCs w:val="32"/>
        </w:rPr>
        <w:t>万平方米。城市绿化进一步改善，建成区公园绿地面积约</w:t>
      </w:r>
      <w:bookmarkStart w:id="71" w:name="OLE_LINK25"/>
      <w:bookmarkStart w:id="72" w:name="OLE_LINK26"/>
      <w:r w:rsidR="00F90723" w:rsidRPr="00F212E7">
        <w:rPr>
          <w:rFonts w:eastAsia="仿宋_GB2312"/>
          <w:bCs/>
          <w:caps/>
          <w:sz w:val="32"/>
          <w:szCs w:val="32"/>
        </w:rPr>
        <w:t>1597.44</w:t>
      </w:r>
      <w:bookmarkEnd w:id="71"/>
      <w:bookmarkEnd w:id="72"/>
      <w:r w:rsidRPr="00F212E7">
        <w:rPr>
          <w:rFonts w:eastAsia="仿宋_GB2312" w:hint="eastAsia"/>
          <w:bCs/>
          <w:caps/>
          <w:sz w:val="32"/>
          <w:szCs w:val="32"/>
        </w:rPr>
        <w:t>公顷。</w:t>
      </w:r>
      <w:r w:rsidR="00F90723" w:rsidRPr="00F212E7">
        <w:rPr>
          <w:rFonts w:eastAsia="仿宋_GB2312" w:hint="eastAsia"/>
          <w:bCs/>
          <w:caps/>
          <w:sz w:val="32"/>
          <w:szCs w:val="32"/>
        </w:rPr>
        <w:t>建成区路网密度达到</w:t>
      </w:r>
      <w:r w:rsidR="00F90723" w:rsidRPr="00F212E7">
        <w:rPr>
          <w:rFonts w:eastAsia="仿宋_GB2312" w:hint="eastAsia"/>
          <w:bCs/>
          <w:caps/>
          <w:sz w:val="32"/>
          <w:szCs w:val="32"/>
        </w:rPr>
        <w:t>15.67</w:t>
      </w:r>
      <w:r w:rsidR="00F90723" w:rsidRPr="00F212E7">
        <w:rPr>
          <w:rFonts w:eastAsia="仿宋_GB2312" w:hint="eastAsia"/>
          <w:bCs/>
          <w:caps/>
          <w:sz w:val="32"/>
          <w:szCs w:val="32"/>
        </w:rPr>
        <w:t>公里</w:t>
      </w:r>
      <w:r w:rsidR="00F90723" w:rsidRPr="00F212E7">
        <w:rPr>
          <w:rFonts w:eastAsia="仿宋_GB2312" w:hint="eastAsia"/>
          <w:bCs/>
          <w:caps/>
          <w:sz w:val="32"/>
          <w:szCs w:val="32"/>
        </w:rPr>
        <w:t>/</w:t>
      </w:r>
      <w:r w:rsidR="00F90723" w:rsidRPr="00F212E7">
        <w:rPr>
          <w:rFonts w:eastAsia="仿宋_GB2312" w:hint="eastAsia"/>
          <w:bCs/>
          <w:caps/>
          <w:sz w:val="32"/>
          <w:szCs w:val="32"/>
        </w:rPr>
        <w:t>平方公里，</w:t>
      </w:r>
      <w:r w:rsidRPr="00F212E7">
        <w:rPr>
          <w:rFonts w:eastAsia="仿宋_GB2312" w:hint="eastAsia"/>
          <w:bCs/>
          <w:caps/>
          <w:sz w:val="32"/>
          <w:szCs w:val="32"/>
        </w:rPr>
        <w:t>城市污水集中处理率和生活垃圾无害化处理率分别达到</w:t>
      </w:r>
      <w:r w:rsidRPr="00F212E7">
        <w:rPr>
          <w:rFonts w:eastAsia="仿宋_GB2312" w:hint="eastAsia"/>
          <w:bCs/>
          <w:caps/>
          <w:sz w:val="32"/>
          <w:szCs w:val="32"/>
        </w:rPr>
        <w:t>9</w:t>
      </w:r>
      <w:r w:rsidR="00F90723" w:rsidRPr="00F212E7">
        <w:rPr>
          <w:rFonts w:eastAsia="仿宋_GB2312" w:hint="eastAsia"/>
          <w:bCs/>
          <w:caps/>
          <w:sz w:val="32"/>
          <w:szCs w:val="32"/>
        </w:rPr>
        <w:t>9.2</w:t>
      </w:r>
      <w:r w:rsidRPr="00F212E7">
        <w:rPr>
          <w:rFonts w:eastAsia="仿宋_GB2312" w:hint="eastAsia"/>
          <w:bCs/>
          <w:caps/>
          <w:sz w:val="32"/>
          <w:szCs w:val="32"/>
        </w:rPr>
        <w:t>%</w:t>
      </w:r>
      <w:r w:rsidRPr="00F212E7">
        <w:rPr>
          <w:rFonts w:eastAsia="仿宋_GB2312" w:hint="eastAsia"/>
          <w:bCs/>
          <w:caps/>
          <w:sz w:val="32"/>
          <w:szCs w:val="32"/>
        </w:rPr>
        <w:t>和</w:t>
      </w:r>
      <w:r w:rsidRPr="00F212E7">
        <w:rPr>
          <w:rFonts w:eastAsia="仿宋_GB2312" w:hint="eastAsia"/>
          <w:bCs/>
          <w:caps/>
          <w:sz w:val="32"/>
          <w:szCs w:val="32"/>
        </w:rPr>
        <w:t>100%</w:t>
      </w:r>
      <w:r w:rsidRPr="00F212E7">
        <w:rPr>
          <w:rFonts w:eastAsia="仿宋_GB2312" w:hint="eastAsia"/>
          <w:bCs/>
          <w:caps/>
          <w:sz w:val="32"/>
          <w:szCs w:val="32"/>
        </w:rPr>
        <w:t>。</w:t>
      </w:r>
    </w:p>
    <w:p w:rsidR="00F014A3" w:rsidRPr="00F212E7" w:rsidRDefault="00CD538F">
      <w:pPr>
        <w:spacing w:line="560" w:lineRule="exact"/>
        <w:ind w:firstLineChars="200" w:firstLine="460"/>
        <w:jc w:val="center"/>
        <w:outlineLvl w:val="0"/>
        <w:rPr>
          <w:rFonts w:eastAsia="仿宋_GB2312"/>
          <w:sz w:val="32"/>
        </w:rPr>
      </w:pPr>
      <w:r w:rsidRPr="00F212E7">
        <w:rPr>
          <w:rFonts w:eastAsia="仿宋_GB2312"/>
          <w:kern w:val="0"/>
          <w:sz w:val="23"/>
          <w:szCs w:val="23"/>
        </w:rPr>
        <w:t>图</w:t>
      </w:r>
      <w:r w:rsidRPr="00F212E7">
        <w:rPr>
          <w:rFonts w:eastAsia="仿宋_GB2312"/>
          <w:kern w:val="0"/>
          <w:sz w:val="23"/>
          <w:szCs w:val="23"/>
        </w:rPr>
        <w:t>1</w:t>
      </w:r>
      <w:r w:rsidRPr="00F212E7">
        <w:rPr>
          <w:rFonts w:eastAsia="仿宋_GB2312" w:hint="eastAsia"/>
          <w:kern w:val="0"/>
          <w:sz w:val="23"/>
          <w:szCs w:val="23"/>
        </w:rPr>
        <w:t xml:space="preserve">5  </w:t>
      </w:r>
      <w:r w:rsidRPr="00F212E7">
        <w:rPr>
          <w:rFonts w:eastAsia="仿宋_GB2312"/>
          <w:kern w:val="0"/>
          <w:sz w:val="23"/>
          <w:szCs w:val="23"/>
        </w:rPr>
        <w:t>20</w:t>
      </w:r>
      <w:r w:rsidRPr="00F212E7">
        <w:rPr>
          <w:rFonts w:eastAsia="仿宋_GB2312" w:hint="eastAsia"/>
          <w:kern w:val="0"/>
          <w:sz w:val="23"/>
          <w:szCs w:val="23"/>
        </w:rPr>
        <w:t>2</w:t>
      </w:r>
      <w:r w:rsidR="00655879" w:rsidRPr="00F212E7">
        <w:rPr>
          <w:rFonts w:eastAsia="仿宋_GB2312" w:hint="eastAsia"/>
          <w:kern w:val="0"/>
          <w:sz w:val="23"/>
          <w:szCs w:val="23"/>
        </w:rPr>
        <w:t>1</w:t>
      </w:r>
      <w:r w:rsidRPr="00F212E7">
        <w:rPr>
          <w:rFonts w:eastAsia="仿宋_GB2312"/>
          <w:kern w:val="0"/>
          <w:sz w:val="23"/>
          <w:szCs w:val="23"/>
        </w:rPr>
        <w:t>-202</w:t>
      </w:r>
      <w:r w:rsidR="00655879" w:rsidRPr="00F212E7">
        <w:rPr>
          <w:rFonts w:eastAsia="仿宋_GB2312" w:hint="eastAsia"/>
          <w:kern w:val="0"/>
          <w:sz w:val="23"/>
          <w:szCs w:val="23"/>
        </w:rPr>
        <w:t>5</w:t>
      </w:r>
      <w:r w:rsidRPr="00F212E7">
        <w:rPr>
          <w:rFonts w:eastAsia="仿宋_GB2312"/>
          <w:kern w:val="0"/>
          <w:sz w:val="23"/>
          <w:szCs w:val="23"/>
        </w:rPr>
        <w:t>年建成区面积</w:t>
      </w:r>
    </w:p>
    <w:p w:rsidR="00F014A3" w:rsidRPr="00F212E7" w:rsidRDefault="00655879" w:rsidP="00655879">
      <w:pPr>
        <w:ind w:firstLineChars="200" w:firstLine="420"/>
        <w:jc w:val="center"/>
        <w:rPr>
          <w:rFonts w:eastAsia="仿宋_GB2312"/>
          <w:sz w:val="32"/>
        </w:rPr>
      </w:pPr>
      <w:r w:rsidRPr="00F212E7">
        <w:rPr>
          <w:noProof/>
        </w:rPr>
        <w:drawing>
          <wp:inline distT="0" distB="0" distL="0" distR="0" wp14:anchorId="3D5A14D2" wp14:editId="43DD8CFD">
            <wp:extent cx="4572000" cy="2733675"/>
            <wp:effectExtent l="0" t="0" r="19050" b="9525"/>
            <wp:docPr id="26" name="图表 26"/>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655879" w:rsidRPr="00F212E7" w:rsidRDefault="00655879" w:rsidP="00655879">
      <w:pPr>
        <w:spacing w:line="560" w:lineRule="exact"/>
        <w:ind w:firstLineChars="200" w:firstLine="640"/>
        <w:outlineLvl w:val="0"/>
        <w:rPr>
          <w:rFonts w:eastAsia="仿宋_GB2312"/>
          <w:bCs/>
          <w:caps/>
          <w:sz w:val="32"/>
          <w:szCs w:val="32"/>
        </w:rPr>
      </w:pPr>
      <w:r w:rsidRPr="00F212E7">
        <w:rPr>
          <w:rFonts w:eastAsia="仿宋_GB2312" w:hint="eastAsia"/>
          <w:bCs/>
          <w:caps/>
          <w:sz w:val="32"/>
          <w:szCs w:val="32"/>
        </w:rPr>
        <w:t>全市</w:t>
      </w:r>
      <w:r w:rsidRPr="00F212E7">
        <w:rPr>
          <w:rFonts w:eastAsia="仿宋_GB2312" w:hint="eastAsia"/>
          <w:bCs/>
          <w:caps/>
          <w:sz w:val="32"/>
          <w:szCs w:val="32"/>
        </w:rPr>
        <w:t>PM2.5</w:t>
      </w:r>
      <w:r w:rsidRPr="00F212E7">
        <w:rPr>
          <w:rFonts w:eastAsia="仿宋_GB2312" w:hint="eastAsia"/>
          <w:bCs/>
          <w:caps/>
          <w:sz w:val="32"/>
          <w:szCs w:val="32"/>
        </w:rPr>
        <w:t>浓度为</w:t>
      </w:r>
      <w:r w:rsidRPr="00F212E7">
        <w:rPr>
          <w:rFonts w:eastAsia="仿宋_GB2312" w:hint="eastAsia"/>
          <w:bCs/>
          <w:caps/>
          <w:sz w:val="32"/>
          <w:szCs w:val="32"/>
        </w:rPr>
        <w:t>28.3</w:t>
      </w:r>
      <w:r w:rsidRPr="00F212E7">
        <w:rPr>
          <w:rFonts w:eastAsia="仿宋_GB2312" w:hint="eastAsia"/>
          <w:bCs/>
          <w:caps/>
          <w:sz w:val="32"/>
          <w:szCs w:val="32"/>
        </w:rPr>
        <w:t>微克</w:t>
      </w:r>
      <w:r w:rsidRPr="00F212E7">
        <w:rPr>
          <w:rFonts w:eastAsia="仿宋_GB2312" w:hint="eastAsia"/>
          <w:bCs/>
          <w:caps/>
          <w:sz w:val="32"/>
          <w:szCs w:val="32"/>
        </w:rPr>
        <w:t>/</w:t>
      </w:r>
      <w:r w:rsidRPr="00F212E7">
        <w:rPr>
          <w:rFonts w:eastAsia="仿宋_GB2312" w:hint="eastAsia"/>
          <w:bCs/>
          <w:caps/>
          <w:sz w:val="32"/>
          <w:szCs w:val="32"/>
        </w:rPr>
        <w:t>立方米，排名金华第</w:t>
      </w:r>
      <w:r w:rsidRPr="00F212E7">
        <w:rPr>
          <w:rFonts w:eastAsia="仿宋_GB2312" w:hint="eastAsia"/>
          <w:bCs/>
          <w:caps/>
          <w:sz w:val="32"/>
          <w:szCs w:val="32"/>
        </w:rPr>
        <w:t>3</w:t>
      </w:r>
      <w:r w:rsidRPr="00F212E7">
        <w:rPr>
          <w:rFonts w:eastAsia="仿宋_GB2312" w:hint="eastAsia"/>
          <w:bCs/>
          <w:caps/>
          <w:sz w:val="32"/>
          <w:szCs w:val="32"/>
        </w:rPr>
        <w:t>；空气质量优良率</w:t>
      </w:r>
      <w:r w:rsidRPr="00F212E7">
        <w:rPr>
          <w:rFonts w:eastAsia="仿宋_GB2312" w:hint="eastAsia"/>
          <w:bCs/>
          <w:caps/>
          <w:sz w:val="32"/>
          <w:szCs w:val="32"/>
        </w:rPr>
        <w:t>91.8%</w:t>
      </w:r>
      <w:r w:rsidRPr="00F212E7">
        <w:rPr>
          <w:rFonts w:eastAsia="仿宋_GB2312" w:hint="eastAsia"/>
          <w:bCs/>
          <w:caps/>
          <w:sz w:val="32"/>
          <w:szCs w:val="32"/>
        </w:rPr>
        <w:t>，空气质量连续</w:t>
      </w:r>
      <w:r w:rsidRPr="00F212E7">
        <w:rPr>
          <w:rFonts w:eastAsia="仿宋_GB2312" w:hint="eastAsia"/>
          <w:bCs/>
          <w:caps/>
          <w:sz w:val="32"/>
          <w:szCs w:val="32"/>
        </w:rPr>
        <w:t>8</w:t>
      </w:r>
      <w:r w:rsidRPr="00F212E7">
        <w:rPr>
          <w:rFonts w:eastAsia="仿宋_GB2312" w:hint="eastAsia"/>
          <w:bCs/>
          <w:caps/>
          <w:sz w:val="32"/>
          <w:szCs w:val="32"/>
        </w:rPr>
        <w:t>年稳定达到国家二级标准。全市</w:t>
      </w:r>
      <w:r w:rsidRPr="00F212E7">
        <w:rPr>
          <w:rFonts w:eastAsia="仿宋_GB2312" w:hint="eastAsia"/>
          <w:bCs/>
          <w:caps/>
          <w:sz w:val="32"/>
          <w:szCs w:val="32"/>
        </w:rPr>
        <w:t>8</w:t>
      </w:r>
      <w:r w:rsidRPr="00F212E7">
        <w:rPr>
          <w:rFonts w:eastAsia="仿宋_GB2312" w:hint="eastAsia"/>
          <w:bCs/>
          <w:caps/>
          <w:sz w:val="32"/>
          <w:szCs w:val="32"/>
        </w:rPr>
        <w:t>个县控及以上断面、</w:t>
      </w:r>
      <w:r w:rsidRPr="00F212E7">
        <w:rPr>
          <w:rFonts w:eastAsia="仿宋_GB2312" w:hint="eastAsia"/>
          <w:bCs/>
          <w:caps/>
          <w:sz w:val="32"/>
          <w:szCs w:val="32"/>
        </w:rPr>
        <w:t>8</w:t>
      </w:r>
      <w:r w:rsidRPr="00F212E7">
        <w:rPr>
          <w:rFonts w:eastAsia="仿宋_GB2312" w:hint="eastAsia"/>
          <w:bCs/>
          <w:caps/>
          <w:sz w:val="32"/>
          <w:szCs w:val="32"/>
        </w:rPr>
        <w:t>个集中式饮用水水源地水质达标率为</w:t>
      </w:r>
      <w:r w:rsidRPr="00F212E7">
        <w:rPr>
          <w:rFonts w:eastAsia="仿宋_GB2312" w:hint="eastAsia"/>
          <w:bCs/>
          <w:caps/>
          <w:sz w:val="32"/>
          <w:szCs w:val="32"/>
        </w:rPr>
        <w:t>100%</w:t>
      </w:r>
      <w:r w:rsidRPr="00F212E7">
        <w:rPr>
          <w:rFonts w:eastAsia="仿宋_GB2312" w:hint="eastAsia"/>
          <w:bCs/>
          <w:caps/>
          <w:sz w:val="32"/>
          <w:szCs w:val="32"/>
        </w:rPr>
        <w:t>。</w:t>
      </w:r>
      <w:r w:rsidRPr="00F212E7">
        <w:rPr>
          <w:rFonts w:eastAsia="仿宋_GB2312" w:hint="eastAsia"/>
          <w:bCs/>
          <w:caps/>
          <w:sz w:val="32"/>
          <w:szCs w:val="32"/>
        </w:rPr>
        <w:t>2025</w:t>
      </w:r>
      <w:r w:rsidRPr="00F212E7">
        <w:rPr>
          <w:rFonts w:eastAsia="仿宋_GB2312" w:hint="eastAsia"/>
          <w:bCs/>
          <w:caps/>
          <w:sz w:val="32"/>
          <w:szCs w:val="32"/>
        </w:rPr>
        <w:t>年我市生态环境满意度分值</w:t>
      </w:r>
      <w:r w:rsidRPr="00F212E7">
        <w:rPr>
          <w:rFonts w:eastAsia="仿宋_GB2312" w:hint="eastAsia"/>
          <w:bCs/>
          <w:caps/>
          <w:sz w:val="32"/>
          <w:szCs w:val="32"/>
        </w:rPr>
        <w:t>90.71</w:t>
      </w:r>
      <w:r w:rsidRPr="00F212E7">
        <w:rPr>
          <w:rFonts w:eastAsia="仿宋_GB2312" w:hint="eastAsia"/>
          <w:bCs/>
          <w:caps/>
          <w:sz w:val="32"/>
          <w:szCs w:val="32"/>
        </w:rPr>
        <w:t>分，排名全省十七强县市第</w:t>
      </w:r>
      <w:r w:rsidRPr="00F212E7">
        <w:rPr>
          <w:rFonts w:eastAsia="仿宋_GB2312" w:hint="eastAsia"/>
          <w:bCs/>
          <w:caps/>
          <w:sz w:val="32"/>
          <w:szCs w:val="32"/>
        </w:rPr>
        <w:t>4</w:t>
      </w:r>
      <w:r w:rsidRPr="00F212E7">
        <w:rPr>
          <w:rFonts w:eastAsia="仿宋_GB2312" w:hint="eastAsia"/>
          <w:bCs/>
          <w:caps/>
          <w:sz w:val="32"/>
          <w:szCs w:val="32"/>
        </w:rPr>
        <w:t>名。</w:t>
      </w:r>
    </w:p>
    <w:p w:rsidR="00F014A3" w:rsidRPr="00F212E7" w:rsidRDefault="00CD538F" w:rsidP="00FB4CFD">
      <w:pPr>
        <w:spacing w:line="560" w:lineRule="exact"/>
        <w:ind w:firstLineChars="200" w:firstLine="723"/>
        <w:jc w:val="left"/>
        <w:outlineLvl w:val="0"/>
        <w:rPr>
          <w:rFonts w:eastAsia="仿宋_GB2312"/>
          <w:b/>
          <w:sz w:val="36"/>
        </w:rPr>
      </w:pPr>
      <w:r w:rsidRPr="00F212E7">
        <w:rPr>
          <w:rFonts w:eastAsia="仿宋_GB2312"/>
          <w:b/>
          <w:sz w:val="36"/>
        </w:rPr>
        <w:t>十二、人口、人民生活和社会保障</w:t>
      </w:r>
    </w:p>
    <w:p w:rsidR="00317B7C" w:rsidRPr="00F212E7" w:rsidRDefault="00317B7C" w:rsidP="00317B7C">
      <w:pPr>
        <w:spacing w:line="560" w:lineRule="exact"/>
        <w:ind w:firstLineChars="200" w:firstLine="640"/>
        <w:outlineLvl w:val="0"/>
        <w:rPr>
          <w:rFonts w:eastAsia="仿宋_GB2312"/>
          <w:bCs/>
          <w:caps/>
          <w:sz w:val="32"/>
          <w:szCs w:val="32"/>
        </w:rPr>
      </w:pPr>
      <w:r w:rsidRPr="00F212E7">
        <w:rPr>
          <w:rFonts w:eastAsia="仿宋_GB2312" w:hint="eastAsia"/>
          <w:bCs/>
          <w:caps/>
          <w:sz w:val="32"/>
          <w:szCs w:val="32"/>
        </w:rPr>
        <w:t>年末全市户籍人口</w:t>
      </w:r>
      <w:r w:rsidRPr="00F212E7">
        <w:rPr>
          <w:rFonts w:eastAsia="仿宋_GB2312" w:hint="eastAsia"/>
          <w:bCs/>
          <w:caps/>
          <w:sz w:val="32"/>
          <w:szCs w:val="32"/>
        </w:rPr>
        <w:t>950617</w:t>
      </w:r>
      <w:r w:rsidRPr="00F212E7">
        <w:rPr>
          <w:rFonts w:eastAsia="仿宋_GB2312" w:hint="eastAsia"/>
          <w:bCs/>
          <w:caps/>
          <w:sz w:val="32"/>
          <w:szCs w:val="32"/>
        </w:rPr>
        <w:t>人，比上年增加</w:t>
      </w:r>
      <w:r w:rsidRPr="00F212E7">
        <w:rPr>
          <w:rFonts w:eastAsia="仿宋_GB2312" w:hint="eastAsia"/>
          <w:bCs/>
          <w:caps/>
          <w:sz w:val="32"/>
          <w:szCs w:val="32"/>
        </w:rPr>
        <w:t>18657</w:t>
      </w:r>
      <w:r w:rsidRPr="00F212E7">
        <w:rPr>
          <w:rFonts w:eastAsia="仿宋_GB2312" w:hint="eastAsia"/>
          <w:bCs/>
          <w:caps/>
          <w:sz w:val="32"/>
          <w:szCs w:val="32"/>
        </w:rPr>
        <w:t>人；户籍人口中乡村人口</w:t>
      </w:r>
      <w:r w:rsidRPr="00F212E7">
        <w:rPr>
          <w:rFonts w:eastAsia="仿宋_GB2312" w:hint="eastAsia"/>
          <w:bCs/>
          <w:caps/>
          <w:sz w:val="32"/>
          <w:szCs w:val="32"/>
        </w:rPr>
        <w:t>334252</w:t>
      </w:r>
      <w:r w:rsidRPr="00F212E7">
        <w:rPr>
          <w:rFonts w:eastAsia="仿宋_GB2312" w:hint="eastAsia"/>
          <w:bCs/>
          <w:caps/>
          <w:sz w:val="32"/>
          <w:szCs w:val="32"/>
        </w:rPr>
        <w:t>人，城镇人口</w:t>
      </w:r>
      <w:r w:rsidRPr="00F212E7">
        <w:rPr>
          <w:rFonts w:eastAsia="仿宋_GB2312" w:hint="eastAsia"/>
          <w:bCs/>
          <w:caps/>
          <w:sz w:val="32"/>
          <w:szCs w:val="32"/>
        </w:rPr>
        <w:t>616365</w:t>
      </w:r>
      <w:r w:rsidRPr="00F212E7">
        <w:rPr>
          <w:rFonts w:eastAsia="仿宋_GB2312" w:hint="eastAsia"/>
          <w:bCs/>
          <w:caps/>
          <w:sz w:val="32"/>
          <w:szCs w:val="32"/>
        </w:rPr>
        <w:t>人；户籍人口中男性人口</w:t>
      </w:r>
      <w:r w:rsidRPr="00F212E7">
        <w:rPr>
          <w:rFonts w:eastAsia="仿宋_GB2312" w:hint="eastAsia"/>
          <w:bCs/>
          <w:caps/>
          <w:sz w:val="32"/>
          <w:szCs w:val="32"/>
        </w:rPr>
        <w:t>463388</w:t>
      </w:r>
      <w:r w:rsidRPr="00F212E7">
        <w:rPr>
          <w:rFonts w:eastAsia="仿宋_GB2312" w:hint="eastAsia"/>
          <w:bCs/>
          <w:caps/>
          <w:sz w:val="32"/>
          <w:szCs w:val="32"/>
        </w:rPr>
        <w:t>人，女性人口</w:t>
      </w:r>
      <w:r w:rsidRPr="00F212E7">
        <w:rPr>
          <w:rFonts w:eastAsia="仿宋_GB2312" w:hint="eastAsia"/>
          <w:bCs/>
          <w:caps/>
          <w:sz w:val="32"/>
          <w:szCs w:val="32"/>
        </w:rPr>
        <w:t>487229</w:t>
      </w:r>
      <w:r w:rsidRPr="00F212E7">
        <w:rPr>
          <w:rFonts w:eastAsia="仿宋_GB2312" w:hint="eastAsia"/>
          <w:bCs/>
          <w:caps/>
          <w:sz w:val="32"/>
          <w:szCs w:val="32"/>
        </w:rPr>
        <w:t>人。全年户籍出生人口</w:t>
      </w:r>
      <w:r w:rsidRPr="00F212E7">
        <w:rPr>
          <w:rFonts w:eastAsia="仿宋_GB2312" w:hint="eastAsia"/>
          <w:bCs/>
          <w:caps/>
          <w:sz w:val="32"/>
          <w:szCs w:val="32"/>
        </w:rPr>
        <w:t>7315</w:t>
      </w:r>
      <w:r w:rsidRPr="00F212E7">
        <w:rPr>
          <w:rFonts w:eastAsia="仿宋_GB2312" w:hint="eastAsia"/>
          <w:bCs/>
          <w:caps/>
          <w:sz w:val="32"/>
          <w:szCs w:val="32"/>
        </w:rPr>
        <w:t>人，人口出生率</w:t>
      </w:r>
      <w:bookmarkStart w:id="73" w:name="OLE_LINK6"/>
      <w:r w:rsidRPr="00F212E7">
        <w:rPr>
          <w:rFonts w:eastAsia="仿宋_GB2312" w:hint="eastAsia"/>
          <w:bCs/>
          <w:caps/>
          <w:sz w:val="32"/>
          <w:szCs w:val="32"/>
        </w:rPr>
        <w:t>7.77</w:t>
      </w:r>
      <w:bookmarkEnd w:id="73"/>
      <w:r w:rsidRPr="00F212E7">
        <w:rPr>
          <w:rFonts w:eastAsia="仿宋_GB2312" w:hint="eastAsia"/>
          <w:bCs/>
          <w:caps/>
          <w:sz w:val="32"/>
          <w:szCs w:val="32"/>
        </w:rPr>
        <w:t>‰；死亡人口</w:t>
      </w:r>
      <w:r w:rsidRPr="00F212E7">
        <w:rPr>
          <w:rFonts w:eastAsia="仿宋_GB2312" w:hint="eastAsia"/>
          <w:bCs/>
          <w:caps/>
          <w:sz w:val="32"/>
          <w:szCs w:val="32"/>
        </w:rPr>
        <w:t>4522</w:t>
      </w:r>
      <w:r w:rsidRPr="00F212E7">
        <w:rPr>
          <w:rFonts w:eastAsia="仿宋_GB2312" w:hint="eastAsia"/>
          <w:bCs/>
          <w:caps/>
          <w:sz w:val="32"/>
          <w:szCs w:val="32"/>
        </w:rPr>
        <w:t>人，人口死亡率</w:t>
      </w:r>
      <w:bookmarkStart w:id="74" w:name="OLE_LINK7"/>
      <w:r w:rsidRPr="00F212E7">
        <w:rPr>
          <w:rFonts w:eastAsia="仿宋_GB2312" w:hint="eastAsia"/>
          <w:bCs/>
          <w:caps/>
          <w:sz w:val="32"/>
          <w:szCs w:val="32"/>
        </w:rPr>
        <w:t>4.8</w:t>
      </w:r>
      <w:bookmarkEnd w:id="74"/>
      <w:r w:rsidRPr="00F212E7">
        <w:rPr>
          <w:rFonts w:eastAsia="仿宋_GB2312" w:hint="eastAsia"/>
          <w:bCs/>
          <w:caps/>
          <w:sz w:val="32"/>
          <w:szCs w:val="32"/>
        </w:rPr>
        <w:t>‰；人口自然增长率</w:t>
      </w:r>
      <w:r w:rsidRPr="00F212E7">
        <w:rPr>
          <w:rFonts w:eastAsia="仿宋_GB2312" w:hint="eastAsia"/>
          <w:bCs/>
          <w:caps/>
          <w:sz w:val="32"/>
          <w:szCs w:val="32"/>
        </w:rPr>
        <w:t>2.97</w:t>
      </w:r>
      <w:r w:rsidRPr="00F212E7">
        <w:rPr>
          <w:rFonts w:eastAsia="仿宋_GB2312" w:hint="eastAsia"/>
          <w:bCs/>
          <w:caps/>
          <w:sz w:val="32"/>
          <w:szCs w:val="32"/>
        </w:rPr>
        <w:t>‰。</w:t>
      </w:r>
      <w:r w:rsidRPr="006E1FE2">
        <w:rPr>
          <w:rFonts w:eastAsia="仿宋_GB2312" w:hint="eastAsia"/>
          <w:bCs/>
          <w:caps/>
          <w:sz w:val="32"/>
          <w:szCs w:val="32"/>
        </w:rPr>
        <w:t>根据</w:t>
      </w:r>
      <w:r w:rsidRPr="006E1FE2">
        <w:rPr>
          <w:rFonts w:eastAsia="仿宋_GB2312" w:hint="eastAsia"/>
          <w:bCs/>
          <w:caps/>
          <w:sz w:val="32"/>
          <w:szCs w:val="32"/>
        </w:rPr>
        <w:t>202</w:t>
      </w:r>
      <w:r w:rsidR="00F212E7" w:rsidRPr="006E1FE2">
        <w:rPr>
          <w:rFonts w:eastAsia="仿宋_GB2312" w:hint="eastAsia"/>
          <w:bCs/>
          <w:caps/>
          <w:sz w:val="32"/>
          <w:szCs w:val="32"/>
        </w:rPr>
        <w:t>5</w:t>
      </w:r>
      <w:r w:rsidRPr="006E1FE2">
        <w:rPr>
          <w:rFonts w:eastAsia="仿宋_GB2312" w:hint="eastAsia"/>
          <w:bCs/>
          <w:caps/>
          <w:sz w:val="32"/>
          <w:szCs w:val="32"/>
        </w:rPr>
        <w:t>年</w:t>
      </w:r>
      <w:r w:rsidR="00F212E7" w:rsidRPr="006E1FE2">
        <w:rPr>
          <w:rFonts w:eastAsia="仿宋_GB2312" w:hint="eastAsia"/>
          <w:bCs/>
          <w:caps/>
          <w:sz w:val="32"/>
          <w:szCs w:val="32"/>
        </w:rPr>
        <w:t>1</w:t>
      </w:r>
      <w:r w:rsidR="00F212E7" w:rsidRPr="006E1FE2">
        <w:rPr>
          <w:rFonts w:eastAsia="仿宋_GB2312"/>
          <w:bCs/>
          <w:caps/>
          <w:sz w:val="32"/>
          <w:szCs w:val="32"/>
        </w:rPr>
        <w:t>%</w:t>
      </w:r>
      <w:r w:rsidRPr="006E1FE2">
        <w:rPr>
          <w:rFonts w:eastAsia="仿宋_GB2312" w:hint="eastAsia"/>
          <w:bCs/>
          <w:caps/>
          <w:sz w:val="32"/>
          <w:szCs w:val="32"/>
        </w:rPr>
        <w:lastRenderedPageBreak/>
        <w:t>人口变动抽样调查推算，年末全市常住人口</w:t>
      </w:r>
      <w:r w:rsidR="006E1FE2" w:rsidRPr="006E1FE2">
        <w:rPr>
          <w:rFonts w:eastAsia="仿宋_GB2312"/>
          <w:bCs/>
          <w:caps/>
          <w:sz w:val="32"/>
          <w:szCs w:val="32"/>
        </w:rPr>
        <w:t>194.3</w:t>
      </w:r>
      <w:r w:rsidRPr="006E1FE2">
        <w:rPr>
          <w:rFonts w:eastAsia="仿宋_GB2312" w:hint="eastAsia"/>
          <w:bCs/>
          <w:caps/>
          <w:sz w:val="32"/>
          <w:szCs w:val="32"/>
        </w:rPr>
        <w:t>万人，比上年末增加</w:t>
      </w:r>
      <w:r w:rsidR="006E1FE2" w:rsidRPr="006E1FE2">
        <w:rPr>
          <w:rFonts w:eastAsia="仿宋_GB2312"/>
          <w:bCs/>
          <w:caps/>
          <w:sz w:val="32"/>
          <w:szCs w:val="32"/>
        </w:rPr>
        <w:t>2.5</w:t>
      </w:r>
      <w:r w:rsidRPr="006E1FE2">
        <w:rPr>
          <w:rFonts w:eastAsia="仿宋_GB2312" w:hint="eastAsia"/>
          <w:bCs/>
          <w:caps/>
          <w:sz w:val="32"/>
          <w:szCs w:val="32"/>
        </w:rPr>
        <w:t>万人，城镇化率达到</w:t>
      </w:r>
      <w:r w:rsidR="006E1FE2" w:rsidRPr="006E1FE2">
        <w:rPr>
          <w:rFonts w:eastAsia="仿宋_GB2312"/>
          <w:bCs/>
          <w:caps/>
          <w:sz w:val="32"/>
          <w:szCs w:val="32"/>
        </w:rPr>
        <w:t>83.69</w:t>
      </w:r>
      <w:r w:rsidRPr="006E1FE2">
        <w:rPr>
          <w:rFonts w:eastAsia="仿宋_GB2312" w:hint="eastAsia"/>
          <w:bCs/>
          <w:caps/>
          <w:sz w:val="32"/>
          <w:szCs w:val="32"/>
        </w:rPr>
        <w:t>%</w:t>
      </w:r>
      <w:r w:rsidRPr="006E1FE2">
        <w:rPr>
          <w:rFonts w:eastAsia="仿宋_GB2312" w:hint="eastAsia"/>
          <w:bCs/>
          <w:caps/>
          <w:sz w:val="32"/>
          <w:szCs w:val="32"/>
        </w:rPr>
        <w:t>。</w:t>
      </w:r>
    </w:p>
    <w:p w:rsidR="00F014A3" w:rsidRPr="00F212E7" w:rsidRDefault="00CD538F">
      <w:pPr>
        <w:spacing w:line="560" w:lineRule="exact"/>
        <w:jc w:val="center"/>
        <w:rPr>
          <w:rFonts w:eastAsia="仿宋_GB2312"/>
          <w:sz w:val="32"/>
        </w:rPr>
      </w:pPr>
      <w:r w:rsidRPr="00F212E7">
        <w:rPr>
          <w:rFonts w:eastAsia="仿宋_GB2312"/>
          <w:kern w:val="0"/>
          <w:sz w:val="23"/>
          <w:szCs w:val="23"/>
        </w:rPr>
        <w:t>图</w:t>
      </w:r>
      <w:r w:rsidRPr="00F212E7">
        <w:rPr>
          <w:rFonts w:eastAsia="仿宋_GB2312"/>
          <w:kern w:val="0"/>
          <w:sz w:val="23"/>
          <w:szCs w:val="23"/>
        </w:rPr>
        <w:t>1</w:t>
      </w:r>
      <w:r w:rsidRPr="00F212E7">
        <w:rPr>
          <w:rFonts w:eastAsia="仿宋_GB2312" w:hint="eastAsia"/>
          <w:kern w:val="0"/>
          <w:sz w:val="23"/>
          <w:szCs w:val="23"/>
        </w:rPr>
        <w:t xml:space="preserve">6  </w:t>
      </w:r>
      <w:r w:rsidRPr="00F212E7">
        <w:rPr>
          <w:rFonts w:eastAsia="仿宋_GB2312"/>
          <w:kern w:val="0"/>
          <w:sz w:val="23"/>
          <w:szCs w:val="23"/>
        </w:rPr>
        <w:t>20</w:t>
      </w:r>
      <w:r w:rsidRPr="00F212E7">
        <w:rPr>
          <w:rFonts w:eastAsia="仿宋_GB2312" w:hint="eastAsia"/>
          <w:kern w:val="0"/>
          <w:sz w:val="23"/>
          <w:szCs w:val="23"/>
        </w:rPr>
        <w:t>2</w:t>
      </w:r>
      <w:r w:rsidR="00317B7C" w:rsidRPr="00F212E7">
        <w:rPr>
          <w:rFonts w:eastAsia="仿宋_GB2312" w:hint="eastAsia"/>
          <w:kern w:val="0"/>
          <w:sz w:val="23"/>
          <w:szCs w:val="23"/>
        </w:rPr>
        <w:t>1</w:t>
      </w:r>
      <w:r w:rsidRPr="00F212E7">
        <w:rPr>
          <w:rFonts w:eastAsia="仿宋_GB2312"/>
          <w:kern w:val="0"/>
          <w:sz w:val="23"/>
          <w:szCs w:val="23"/>
        </w:rPr>
        <w:t>-202</w:t>
      </w:r>
      <w:r w:rsidR="00317B7C" w:rsidRPr="00F212E7">
        <w:rPr>
          <w:rFonts w:eastAsia="仿宋_GB2312" w:hint="eastAsia"/>
          <w:kern w:val="0"/>
          <w:sz w:val="23"/>
          <w:szCs w:val="23"/>
        </w:rPr>
        <w:t>5</w:t>
      </w:r>
      <w:r w:rsidRPr="00F212E7">
        <w:rPr>
          <w:rFonts w:eastAsia="仿宋_GB2312"/>
          <w:kern w:val="0"/>
          <w:sz w:val="23"/>
          <w:szCs w:val="23"/>
        </w:rPr>
        <w:t>年户籍人口与增长速度</w:t>
      </w:r>
    </w:p>
    <w:p w:rsidR="00F014A3" w:rsidRPr="00F212E7" w:rsidRDefault="00317B7C">
      <w:pPr>
        <w:widowControl/>
        <w:ind w:firstLineChars="200" w:firstLine="420"/>
        <w:jc w:val="center"/>
      </w:pPr>
      <w:r w:rsidRPr="00F212E7">
        <w:rPr>
          <w:noProof/>
        </w:rPr>
        <w:drawing>
          <wp:inline distT="0" distB="0" distL="0" distR="0" wp14:anchorId="25769171" wp14:editId="50B6531F">
            <wp:extent cx="4848225" cy="2743200"/>
            <wp:effectExtent l="0" t="0" r="9525" b="19050"/>
            <wp:docPr id="27" name="图表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F014A3" w:rsidRPr="00F212E7" w:rsidRDefault="00CD538F">
      <w:pPr>
        <w:spacing w:line="560" w:lineRule="exact"/>
        <w:ind w:firstLineChars="200" w:firstLine="640"/>
        <w:outlineLvl w:val="0"/>
        <w:rPr>
          <w:rFonts w:eastAsia="仿宋_GB2312"/>
          <w:bCs/>
          <w:caps/>
          <w:sz w:val="32"/>
          <w:szCs w:val="32"/>
        </w:rPr>
      </w:pPr>
      <w:r w:rsidRPr="00F212E7">
        <w:rPr>
          <w:rFonts w:eastAsia="仿宋_GB2312" w:hint="eastAsia"/>
          <w:bCs/>
          <w:caps/>
          <w:sz w:val="32"/>
          <w:szCs w:val="32"/>
        </w:rPr>
        <w:t>居民收入实现持续平稳增长。</w:t>
      </w:r>
      <w:r w:rsidR="00226969" w:rsidRPr="00F212E7">
        <w:rPr>
          <w:rFonts w:eastAsia="仿宋_GB2312" w:hint="eastAsia"/>
          <w:bCs/>
          <w:caps/>
          <w:sz w:val="32"/>
          <w:szCs w:val="32"/>
        </w:rPr>
        <w:t>根据城乡一体化住户调查，全体居民人均可支配收入为</w:t>
      </w:r>
      <w:r w:rsidR="00226969" w:rsidRPr="00F212E7">
        <w:rPr>
          <w:rFonts w:eastAsia="仿宋_GB2312" w:hint="eastAsia"/>
          <w:bCs/>
          <w:caps/>
          <w:sz w:val="32"/>
          <w:szCs w:val="32"/>
        </w:rPr>
        <w:t>92852</w:t>
      </w:r>
      <w:r w:rsidR="00226969" w:rsidRPr="00F212E7">
        <w:rPr>
          <w:rFonts w:eastAsia="仿宋_GB2312" w:hint="eastAsia"/>
          <w:bCs/>
          <w:caps/>
          <w:sz w:val="32"/>
          <w:szCs w:val="32"/>
        </w:rPr>
        <w:t>元，比上年增长</w:t>
      </w:r>
      <w:r w:rsidR="00226969" w:rsidRPr="00F212E7">
        <w:rPr>
          <w:rFonts w:eastAsia="仿宋_GB2312" w:hint="eastAsia"/>
          <w:bCs/>
          <w:caps/>
          <w:sz w:val="32"/>
          <w:szCs w:val="32"/>
        </w:rPr>
        <w:t>5.5</w:t>
      </w:r>
      <w:bookmarkStart w:id="75" w:name="OLE_LINK4"/>
      <w:bookmarkStart w:id="76" w:name="OLE_LINK5"/>
      <w:r w:rsidR="00226969" w:rsidRPr="00F212E7">
        <w:rPr>
          <w:rFonts w:eastAsia="仿宋_GB2312" w:hint="eastAsia"/>
          <w:bCs/>
          <w:caps/>
          <w:sz w:val="32"/>
          <w:szCs w:val="32"/>
        </w:rPr>
        <w:t>%</w:t>
      </w:r>
      <w:bookmarkEnd w:id="75"/>
      <w:bookmarkEnd w:id="76"/>
      <w:r w:rsidR="00226969" w:rsidRPr="00F212E7">
        <w:rPr>
          <w:rFonts w:eastAsia="仿宋_GB2312" w:hint="eastAsia"/>
          <w:bCs/>
          <w:caps/>
          <w:sz w:val="32"/>
          <w:szCs w:val="32"/>
        </w:rPr>
        <w:t>，其中城镇常住居民人均可支配收入为</w:t>
      </w:r>
      <w:r w:rsidR="00226969" w:rsidRPr="00F212E7">
        <w:rPr>
          <w:rFonts w:eastAsia="仿宋_GB2312" w:hint="eastAsia"/>
          <w:bCs/>
          <w:caps/>
          <w:sz w:val="32"/>
          <w:szCs w:val="32"/>
        </w:rPr>
        <w:t>101816</w:t>
      </w:r>
      <w:r w:rsidR="00226969" w:rsidRPr="00F212E7">
        <w:rPr>
          <w:rFonts w:eastAsia="仿宋_GB2312" w:hint="eastAsia"/>
          <w:bCs/>
          <w:caps/>
          <w:sz w:val="32"/>
          <w:szCs w:val="32"/>
        </w:rPr>
        <w:t>元，增长</w:t>
      </w:r>
      <w:r w:rsidR="00226969" w:rsidRPr="00F212E7">
        <w:rPr>
          <w:rFonts w:eastAsia="仿宋_GB2312" w:hint="eastAsia"/>
          <w:bCs/>
          <w:caps/>
          <w:sz w:val="32"/>
          <w:szCs w:val="32"/>
        </w:rPr>
        <w:t>4.8%</w:t>
      </w:r>
      <w:r w:rsidR="00226969" w:rsidRPr="00F212E7">
        <w:rPr>
          <w:rFonts w:eastAsia="仿宋_GB2312" w:hint="eastAsia"/>
          <w:bCs/>
          <w:caps/>
          <w:sz w:val="32"/>
          <w:szCs w:val="32"/>
        </w:rPr>
        <w:t>，农村常住居民人均可支配收入为</w:t>
      </w:r>
      <w:r w:rsidR="00226969" w:rsidRPr="00F212E7">
        <w:rPr>
          <w:rFonts w:eastAsia="仿宋_GB2312" w:hint="eastAsia"/>
          <w:bCs/>
          <w:caps/>
          <w:sz w:val="32"/>
          <w:szCs w:val="32"/>
        </w:rPr>
        <w:t>57965</w:t>
      </w:r>
      <w:r w:rsidR="00226969" w:rsidRPr="00F212E7">
        <w:rPr>
          <w:rFonts w:eastAsia="仿宋_GB2312" w:hint="eastAsia"/>
          <w:bCs/>
          <w:caps/>
          <w:sz w:val="32"/>
          <w:szCs w:val="32"/>
        </w:rPr>
        <w:t>元，增长</w:t>
      </w:r>
      <w:r w:rsidR="00226969" w:rsidRPr="00F212E7">
        <w:rPr>
          <w:rFonts w:eastAsia="仿宋_GB2312" w:hint="eastAsia"/>
          <w:bCs/>
          <w:caps/>
          <w:sz w:val="32"/>
          <w:szCs w:val="32"/>
        </w:rPr>
        <w:t>6.5%</w:t>
      </w:r>
      <w:r w:rsidR="00226969" w:rsidRPr="00F212E7">
        <w:rPr>
          <w:rFonts w:eastAsia="仿宋_GB2312" w:hint="eastAsia"/>
          <w:bCs/>
          <w:caps/>
          <w:sz w:val="32"/>
          <w:szCs w:val="32"/>
        </w:rPr>
        <w:t>。城乡收入比为</w:t>
      </w:r>
      <w:r w:rsidR="00226969" w:rsidRPr="00F212E7">
        <w:rPr>
          <w:rFonts w:eastAsia="仿宋_GB2312" w:hint="eastAsia"/>
          <w:bCs/>
          <w:caps/>
          <w:sz w:val="32"/>
          <w:szCs w:val="32"/>
        </w:rPr>
        <w:t>1.76</w:t>
      </w:r>
      <w:r w:rsidR="00226969" w:rsidRPr="00F212E7">
        <w:rPr>
          <w:rFonts w:eastAsia="仿宋_GB2312" w:hint="eastAsia"/>
          <w:bCs/>
          <w:caps/>
          <w:sz w:val="32"/>
          <w:szCs w:val="32"/>
        </w:rPr>
        <w:t>：</w:t>
      </w:r>
      <w:r w:rsidR="00226969" w:rsidRPr="00F212E7">
        <w:rPr>
          <w:rFonts w:eastAsia="仿宋_GB2312" w:hint="eastAsia"/>
          <w:bCs/>
          <w:caps/>
          <w:sz w:val="32"/>
          <w:szCs w:val="32"/>
        </w:rPr>
        <w:t>1</w:t>
      </w:r>
      <w:r w:rsidR="00226969" w:rsidRPr="00F212E7">
        <w:rPr>
          <w:rFonts w:eastAsia="仿宋_GB2312" w:hint="eastAsia"/>
          <w:bCs/>
          <w:caps/>
          <w:sz w:val="32"/>
          <w:szCs w:val="32"/>
        </w:rPr>
        <w:t>，继续稳步缩小。全体居民人均生活消费支出为</w:t>
      </w:r>
      <w:r w:rsidR="00226969" w:rsidRPr="00F212E7">
        <w:rPr>
          <w:rFonts w:eastAsia="仿宋_GB2312" w:hint="eastAsia"/>
          <w:bCs/>
          <w:caps/>
          <w:sz w:val="32"/>
          <w:szCs w:val="32"/>
        </w:rPr>
        <w:t>57253</w:t>
      </w:r>
      <w:r w:rsidR="00226969" w:rsidRPr="00F212E7">
        <w:rPr>
          <w:rFonts w:eastAsia="仿宋_GB2312" w:hint="eastAsia"/>
          <w:bCs/>
          <w:caps/>
          <w:sz w:val="32"/>
          <w:szCs w:val="32"/>
        </w:rPr>
        <w:t>元，增长</w:t>
      </w:r>
      <w:r w:rsidR="00226969" w:rsidRPr="00F212E7">
        <w:rPr>
          <w:rFonts w:eastAsia="仿宋_GB2312" w:hint="eastAsia"/>
          <w:bCs/>
          <w:caps/>
          <w:sz w:val="32"/>
          <w:szCs w:val="32"/>
        </w:rPr>
        <w:t>6.5%</w:t>
      </w:r>
      <w:r w:rsidR="00226969" w:rsidRPr="00F212E7">
        <w:rPr>
          <w:rFonts w:eastAsia="仿宋_GB2312" w:hint="eastAsia"/>
          <w:bCs/>
          <w:caps/>
          <w:sz w:val="32"/>
          <w:szCs w:val="32"/>
        </w:rPr>
        <w:t>。城镇常住居民人均生活消费支出为</w:t>
      </w:r>
      <w:r w:rsidR="00226969" w:rsidRPr="00F212E7">
        <w:rPr>
          <w:rFonts w:eastAsia="仿宋_GB2312" w:hint="eastAsia"/>
          <w:bCs/>
          <w:caps/>
          <w:sz w:val="32"/>
          <w:szCs w:val="32"/>
        </w:rPr>
        <w:t>62251</w:t>
      </w:r>
      <w:r w:rsidR="00226969" w:rsidRPr="00F212E7">
        <w:rPr>
          <w:rFonts w:eastAsia="仿宋_GB2312" w:hint="eastAsia"/>
          <w:bCs/>
          <w:caps/>
          <w:sz w:val="32"/>
          <w:szCs w:val="32"/>
        </w:rPr>
        <w:t>元，增长</w:t>
      </w:r>
      <w:r w:rsidR="00226969" w:rsidRPr="00F212E7">
        <w:rPr>
          <w:rFonts w:eastAsia="仿宋_GB2312" w:hint="eastAsia"/>
          <w:bCs/>
          <w:caps/>
          <w:sz w:val="32"/>
          <w:szCs w:val="32"/>
        </w:rPr>
        <w:t>5.8%</w:t>
      </w:r>
      <w:r w:rsidR="00226969" w:rsidRPr="00F212E7">
        <w:rPr>
          <w:rFonts w:eastAsia="仿宋_GB2312" w:hint="eastAsia"/>
          <w:bCs/>
          <w:caps/>
          <w:sz w:val="32"/>
          <w:szCs w:val="32"/>
        </w:rPr>
        <w:t>。农村常住居民人均消费支出为</w:t>
      </w:r>
      <w:bookmarkStart w:id="77" w:name="OLE_LINK19"/>
      <w:bookmarkStart w:id="78" w:name="OLE_LINK22"/>
      <w:r w:rsidR="00226969" w:rsidRPr="00F212E7">
        <w:rPr>
          <w:rFonts w:eastAsia="仿宋_GB2312" w:hint="eastAsia"/>
          <w:bCs/>
          <w:caps/>
          <w:sz w:val="32"/>
          <w:szCs w:val="32"/>
        </w:rPr>
        <w:t>37800</w:t>
      </w:r>
      <w:bookmarkEnd w:id="77"/>
      <w:bookmarkEnd w:id="78"/>
      <w:r w:rsidR="00226969" w:rsidRPr="00F212E7">
        <w:rPr>
          <w:rFonts w:eastAsia="仿宋_GB2312" w:hint="eastAsia"/>
          <w:bCs/>
          <w:caps/>
          <w:sz w:val="32"/>
          <w:szCs w:val="32"/>
        </w:rPr>
        <w:t>元，增长</w:t>
      </w:r>
      <w:r w:rsidR="00226969" w:rsidRPr="00F212E7">
        <w:rPr>
          <w:rFonts w:eastAsia="仿宋_GB2312" w:hint="eastAsia"/>
          <w:bCs/>
          <w:caps/>
          <w:sz w:val="32"/>
          <w:szCs w:val="32"/>
        </w:rPr>
        <w:t>7.6%</w:t>
      </w:r>
      <w:r w:rsidR="00226969" w:rsidRPr="00F212E7">
        <w:rPr>
          <w:rFonts w:eastAsia="仿宋_GB2312" w:hint="eastAsia"/>
          <w:bCs/>
          <w:caps/>
          <w:sz w:val="32"/>
          <w:szCs w:val="32"/>
        </w:rPr>
        <w:t>。</w:t>
      </w:r>
    </w:p>
    <w:p w:rsidR="0039368A" w:rsidRDefault="0039368A">
      <w:pPr>
        <w:widowControl/>
        <w:jc w:val="left"/>
        <w:rPr>
          <w:rFonts w:eastAsia="仿宋_GB2312"/>
          <w:kern w:val="0"/>
          <w:sz w:val="23"/>
          <w:szCs w:val="23"/>
        </w:rPr>
      </w:pPr>
      <w:r>
        <w:rPr>
          <w:rFonts w:eastAsia="仿宋_GB2312"/>
          <w:kern w:val="0"/>
          <w:sz w:val="23"/>
          <w:szCs w:val="23"/>
        </w:rPr>
        <w:br w:type="page"/>
      </w:r>
    </w:p>
    <w:p w:rsidR="00F014A3" w:rsidRPr="00F212E7" w:rsidRDefault="00CD538F">
      <w:pPr>
        <w:spacing w:line="560" w:lineRule="exact"/>
        <w:jc w:val="center"/>
        <w:rPr>
          <w:rFonts w:eastAsia="仿宋_GB2312"/>
          <w:kern w:val="0"/>
          <w:sz w:val="23"/>
          <w:szCs w:val="23"/>
        </w:rPr>
      </w:pPr>
      <w:r w:rsidRPr="00F212E7">
        <w:rPr>
          <w:rFonts w:eastAsia="仿宋_GB2312"/>
          <w:kern w:val="0"/>
          <w:sz w:val="23"/>
          <w:szCs w:val="23"/>
        </w:rPr>
        <w:lastRenderedPageBreak/>
        <w:t>图</w:t>
      </w:r>
      <w:r w:rsidRPr="00F212E7">
        <w:rPr>
          <w:rFonts w:eastAsia="仿宋_GB2312"/>
          <w:kern w:val="0"/>
          <w:sz w:val="23"/>
          <w:szCs w:val="23"/>
        </w:rPr>
        <w:t>1</w:t>
      </w:r>
      <w:r w:rsidRPr="00F212E7">
        <w:rPr>
          <w:rFonts w:eastAsia="仿宋_GB2312" w:hint="eastAsia"/>
          <w:kern w:val="0"/>
          <w:sz w:val="23"/>
          <w:szCs w:val="23"/>
        </w:rPr>
        <w:t xml:space="preserve">7  </w:t>
      </w:r>
      <w:r w:rsidRPr="00F212E7">
        <w:rPr>
          <w:rFonts w:eastAsia="仿宋_GB2312"/>
          <w:kern w:val="0"/>
          <w:sz w:val="23"/>
          <w:szCs w:val="23"/>
        </w:rPr>
        <w:t>20</w:t>
      </w:r>
      <w:r w:rsidRPr="00F212E7">
        <w:rPr>
          <w:rFonts w:eastAsia="仿宋_GB2312" w:hint="eastAsia"/>
          <w:kern w:val="0"/>
          <w:sz w:val="23"/>
          <w:szCs w:val="23"/>
        </w:rPr>
        <w:t>2</w:t>
      </w:r>
      <w:r w:rsidR="00226969" w:rsidRPr="00F212E7">
        <w:rPr>
          <w:rFonts w:eastAsia="仿宋_GB2312" w:hint="eastAsia"/>
          <w:kern w:val="0"/>
          <w:sz w:val="23"/>
          <w:szCs w:val="23"/>
        </w:rPr>
        <w:t>1</w:t>
      </w:r>
      <w:r w:rsidRPr="00F212E7">
        <w:rPr>
          <w:rFonts w:eastAsia="仿宋_GB2312"/>
          <w:kern w:val="0"/>
          <w:sz w:val="23"/>
          <w:szCs w:val="23"/>
        </w:rPr>
        <w:t>-202</w:t>
      </w:r>
      <w:r w:rsidR="00226969" w:rsidRPr="00F212E7">
        <w:rPr>
          <w:rFonts w:eastAsia="仿宋_GB2312" w:hint="eastAsia"/>
          <w:kern w:val="0"/>
          <w:sz w:val="23"/>
          <w:szCs w:val="23"/>
        </w:rPr>
        <w:t>5</w:t>
      </w:r>
      <w:r w:rsidRPr="00F212E7">
        <w:rPr>
          <w:rFonts w:eastAsia="仿宋_GB2312"/>
          <w:kern w:val="0"/>
          <w:sz w:val="23"/>
          <w:szCs w:val="23"/>
        </w:rPr>
        <w:t>年城镇常住居民人均可支配收入与增长速度</w:t>
      </w:r>
    </w:p>
    <w:p w:rsidR="00F014A3" w:rsidRPr="00F212E7" w:rsidRDefault="00226969">
      <w:pPr>
        <w:widowControl/>
        <w:ind w:firstLine="200"/>
        <w:jc w:val="center"/>
        <w:rPr>
          <w:rFonts w:eastAsia="仿宋_GB2312"/>
          <w:kern w:val="0"/>
          <w:sz w:val="23"/>
          <w:szCs w:val="23"/>
        </w:rPr>
      </w:pPr>
      <w:r w:rsidRPr="00F212E7">
        <w:rPr>
          <w:noProof/>
        </w:rPr>
        <w:drawing>
          <wp:inline distT="0" distB="0" distL="0" distR="0" wp14:anchorId="7D9FB981" wp14:editId="739C839E">
            <wp:extent cx="4543425" cy="2914650"/>
            <wp:effectExtent l="0" t="0" r="9525" b="19050"/>
            <wp:docPr id="28" name="图表 28"/>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F014A3" w:rsidRPr="00F212E7" w:rsidRDefault="00CD538F">
      <w:pPr>
        <w:jc w:val="center"/>
        <w:rPr>
          <w:rFonts w:eastAsia="仿宋_GB2312"/>
          <w:kern w:val="0"/>
          <w:sz w:val="23"/>
          <w:szCs w:val="23"/>
        </w:rPr>
      </w:pPr>
      <w:r w:rsidRPr="00F212E7">
        <w:rPr>
          <w:rFonts w:eastAsia="仿宋_GB2312"/>
          <w:kern w:val="0"/>
          <w:sz w:val="23"/>
          <w:szCs w:val="23"/>
        </w:rPr>
        <w:t>图</w:t>
      </w:r>
      <w:r w:rsidRPr="00F212E7">
        <w:rPr>
          <w:rFonts w:eastAsia="仿宋_GB2312" w:hint="eastAsia"/>
          <w:kern w:val="0"/>
          <w:sz w:val="23"/>
          <w:szCs w:val="23"/>
        </w:rPr>
        <w:t xml:space="preserve">18  </w:t>
      </w:r>
      <w:r w:rsidRPr="00F212E7">
        <w:rPr>
          <w:rFonts w:eastAsia="仿宋_GB2312"/>
          <w:kern w:val="0"/>
          <w:sz w:val="23"/>
          <w:szCs w:val="23"/>
        </w:rPr>
        <w:t>20</w:t>
      </w:r>
      <w:r w:rsidRPr="00F212E7">
        <w:rPr>
          <w:rFonts w:eastAsia="仿宋_GB2312" w:hint="eastAsia"/>
          <w:kern w:val="0"/>
          <w:sz w:val="23"/>
          <w:szCs w:val="23"/>
        </w:rPr>
        <w:t>2</w:t>
      </w:r>
      <w:r w:rsidR="00226969" w:rsidRPr="00F212E7">
        <w:rPr>
          <w:rFonts w:eastAsia="仿宋_GB2312" w:hint="eastAsia"/>
          <w:kern w:val="0"/>
          <w:sz w:val="23"/>
          <w:szCs w:val="23"/>
        </w:rPr>
        <w:t>1</w:t>
      </w:r>
      <w:r w:rsidRPr="00F212E7">
        <w:rPr>
          <w:rFonts w:eastAsia="仿宋_GB2312"/>
          <w:kern w:val="0"/>
          <w:sz w:val="23"/>
          <w:szCs w:val="23"/>
        </w:rPr>
        <w:t>-202</w:t>
      </w:r>
      <w:r w:rsidR="00226969" w:rsidRPr="00F212E7">
        <w:rPr>
          <w:rFonts w:eastAsia="仿宋_GB2312" w:hint="eastAsia"/>
          <w:kern w:val="0"/>
          <w:sz w:val="23"/>
          <w:szCs w:val="23"/>
        </w:rPr>
        <w:t>5</w:t>
      </w:r>
      <w:r w:rsidRPr="00F212E7">
        <w:rPr>
          <w:rFonts w:eastAsia="仿宋_GB2312"/>
          <w:kern w:val="0"/>
          <w:sz w:val="23"/>
          <w:szCs w:val="23"/>
        </w:rPr>
        <w:t>年农村常住居民人均可支配收入与增长速度</w:t>
      </w:r>
    </w:p>
    <w:p w:rsidR="00F014A3" w:rsidRPr="00F212E7" w:rsidRDefault="00226969" w:rsidP="00226969">
      <w:pPr>
        <w:ind w:firstLineChars="200" w:firstLine="420"/>
        <w:jc w:val="center"/>
        <w:rPr>
          <w:rFonts w:eastAsia="仿宋_GB2312"/>
          <w:kern w:val="0"/>
          <w:sz w:val="23"/>
          <w:szCs w:val="23"/>
        </w:rPr>
      </w:pPr>
      <w:r w:rsidRPr="00F212E7">
        <w:rPr>
          <w:noProof/>
        </w:rPr>
        <w:drawing>
          <wp:inline distT="0" distB="0" distL="0" distR="0" wp14:anchorId="56724B0B" wp14:editId="79B5CE91">
            <wp:extent cx="4543425" cy="2924175"/>
            <wp:effectExtent l="0" t="0" r="9525" b="9525"/>
            <wp:docPr id="29" name="图表 29"/>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226969" w:rsidRPr="00F212E7" w:rsidRDefault="00226969" w:rsidP="00226969">
      <w:pPr>
        <w:spacing w:line="560" w:lineRule="exact"/>
        <w:ind w:firstLineChars="200" w:firstLine="640"/>
        <w:outlineLvl w:val="0"/>
        <w:rPr>
          <w:rFonts w:eastAsia="仿宋_GB2312"/>
          <w:bCs/>
          <w:caps/>
          <w:sz w:val="32"/>
          <w:szCs w:val="32"/>
        </w:rPr>
      </w:pPr>
      <w:r w:rsidRPr="00F212E7">
        <w:rPr>
          <w:rFonts w:eastAsia="仿宋_GB2312" w:hint="eastAsia"/>
          <w:bCs/>
          <w:caps/>
          <w:sz w:val="32"/>
          <w:szCs w:val="32"/>
        </w:rPr>
        <w:t>全市低保标准提高为</w:t>
      </w:r>
      <w:r w:rsidRPr="00F212E7">
        <w:rPr>
          <w:rFonts w:eastAsia="仿宋_GB2312" w:hint="eastAsia"/>
          <w:bCs/>
          <w:caps/>
          <w:sz w:val="32"/>
          <w:szCs w:val="32"/>
        </w:rPr>
        <w:t>1190</w:t>
      </w:r>
      <w:r w:rsidRPr="00F212E7">
        <w:rPr>
          <w:rFonts w:eastAsia="仿宋_GB2312" w:hint="eastAsia"/>
          <w:bCs/>
          <w:caps/>
          <w:sz w:val="32"/>
          <w:szCs w:val="32"/>
        </w:rPr>
        <w:t>元</w:t>
      </w:r>
      <w:r w:rsidRPr="00F212E7">
        <w:rPr>
          <w:rFonts w:eastAsia="仿宋_GB2312" w:hint="eastAsia"/>
          <w:bCs/>
          <w:caps/>
          <w:sz w:val="32"/>
          <w:szCs w:val="32"/>
        </w:rPr>
        <w:t>/</w:t>
      </w:r>
      <w:r w:rsidRPr="00F212E7">
        <w:rPr>
          <w:rFonts w:eastAsia="仿宋_GB2312" w:hint="eastAsia"/>
          <w:bCs/>
          <w:caps/>
          <w:sz w:val="32"/>
          <w:szCs w:val="32"/>
        </w:rPr>
        <w:t>人</w:t>
      </w:r>
      <w:r w:rsidRPr="00F212E7">
        <w:rPr>
          <w:rFonts w:eastAsia="仿宋_GB2312" w:hint="eastAsia"/>
          <w:bCs/>
          <w:caps/>
          <w:sz w:val="32"/>
          <w:szCs w:val="32"/>
        </w:rPr>
        <w:t>/</w:t>
      </w:r>
      <w:r w:rsidRPr="00F212E7">
        <w:rPr>
          <w:rFonts w:eastAsia="仿宋_GB2312" w:hint="eastAsia"/>
          <w:bCs/>
          <w:caps/>
          <w:sz w:val="32"/>
          <w:szCs w:val="32"/>
        </w:rPr>
        <w:t>月，共有救助对象</w:t>
      </w:r>
      <w:r w:rsidRPr="00F212E7">
        <w:rPr>
          <w:rFonts w:eastAsia="仿宋_GB2312" w:hint="eastAsia"/>
          <w:bCs/>
          <w:caps/>
          <w:sz w:val="32"/>
          <w:szCs w:val="32"/>
        </w:rPr>
        <w:t>4302</w:t>
      </w:r>
      <w:r w:rsidRPr="00F212E7">
        <w:rPr>
          <w:rFonts w:eastAsia="仿宋_GB2312" w:hint="eastAsia"/>
          <w:bCs/>
          <w:caps/>
          <w:sz w:val="32"/>
          <w:szCs w:val="32"/>
        </w:rPr>
        <w:t>人，其中低保对象</w:t>
      </w:r>
      <w:r w:rsidRPr="00F212E7">
        <w:rPr>
          <w:rFonts w:eastAsia="仿宋_GB2312" w:hint="eastAsia"/>
          <w:bCs/>
          <w:caps/>
          <w:sz w:val="32"/>
          <w:szCs w:val="32"/>
        </w:rPr>
        <w:t>3095</w:t>
      </w:r>
      <w:r w:rsidRPr="00F212E7">
        <w:rPr>
          <w:rFonts w:eastAsia="仿宋_GB2312" w:hint="eastAsia"/>
          <w:bCs/>
          <w:caps/>
          <w:sz w:val="32"/>
          <w:szCs w:val="32"/>
        </w:rPr>
        <w:t>人，低保边缘对象</w:t>
      </w:r>
      <w:r w:rsidRPr="00F212E7">
        <w:rPr>
          <w:rFonts w:eastAsia="仿宋_GB2312" w:hint="eastAsia"/>
          <w:bCs/>
          <w:caps/>
          <w:sz w:val="32"/>
          <w:szCs w:val="32"/>
        </w:rPr>
        <w:t>1055</w:t>
      </w:r>
      <w:r w:rsidRPr="00F212E7">
        <w:rPr>
          <w:rFonts w:eastAsia="仿宋_GB2312" w:hint="eastAsia"/>
          <w:bCs/>
          <w:caps/>
          <w:sz w:val="32"/>
          <w:szCs w:val="32"/>
        </w:rPr>
        <w:t>人，特困人员</w:t>
      </w:r>
      <w:r w:rsidRPr="00F212E7">
        <w:rPr>
          <w:rFonts w:eastAsia="仿宋_GB2312" w:hint="eastAsia"/>
          <w:bCs/>
          <w:caps/>
          <w:sz w:val="32"/>
          <w:szCs w:val="32"/>
        </w:rPr>
        <w:t>152</w:t>
      </w:r>
      <w:r w:rsidRPr="00F212E7">
        <w:rPr>
          <w:rFonts w:eastAsia="仿宋_GB2312" w:hint="eastAsia"/>
          <w:bCs/>
          <w:caps/>
          <w:sz w:val="32"/>
          <w:szCs w:val="32"/>
        </w:rPr>
        <w:t>人，新增</w:t>
      </w:r>
      <w:r w:rsidRPr="00F212E7">
        <w:rPr>
          <w:rFonts w:eastAsia="仿宋_GB2312" w:hint="eastAsia"/>
          <w:bCs/>
          <w:caps/>
          <w:sz w:val="32"/>
          <w:szCs w:val="32"/>
        </w:rPr>
        <w:t>434</w:t>
      </w:r>
      <w:r w:rsidRPr="00F212E7">
        <w:rPr>
          <w:rFonts w:eastAsia="仿宋_GB2312" w:hint="eastAsia"/>
          <w:bCs/>
          <w:caps/>
          <w:sz w:val="32"/>
          <w:szCs w:val="32"/>
        </w:rPr>
        <w:t>人（低保对象</w:t>
      </w:r>
      <w:r w:rsidRPr="00F212E7">
        <w:rPr>
          <w:rFonts w:eastAsia="仿宋_GB2312" w:hint="eastAsia"/>
          <w:bCs/>
          <w:caps/>
          <w:sz w:val="32"/>
          <w:szCs w:val="32"/>
        </w:rPr>
        <w:t>200</w:t>
      </w:r>
      <w:r w:rsidRPr="00F212E7">
        <w:rPr>
          <w:rFonts w:eastAsia="仿宋_GB2312" w:hint="eastAsia"/>
          <w:bCs/>
          <w:caps/>
          <w:sz w:val="32"/>
          <w:szCs w:val="32"/>
        </w:rPr>
        <w:t>人、低保边缘对象</w:t>
      </w:r>
      <w:r w:rsidRPr="00F212E7">
        <w:rPr>
          <w:rFonts w:eastAsia="仿宋_GB2312" w:hint="eastAsia"/>
          <w:bCs/>
          <w:caps/>
          <w:sz w:val="32"/>
          <w:szCs w:val="32"/>
        </w:rPr>
        <w:t>230</w:t>
      </w:r>
      <w:r w:rsidRPr="00F212E7">
        <w:rPr>
          <w:rFonts w:eastAsia="仿宋_GB2312" w:hint="eastAsia"/>
          <w:bCs/>
          <w:caps/>
          <w:sz w:val="32"/>
          <w:szCs w:val="32"/>
        </w:rPr>
        <w:t>人、特困人员</w:t>
      </w:r>
      <w:r w:rsidRPr="00F212E7">
        <w:rPr>
          <w:rFonts w:eastAsia="仿宋_GB2312" w:hint="eastAsia"/>
          <w:bCs/>
          <w:caps/>
          <w:sz w:val="32"/>
          <w:szCs w:val="32"/>
        </w:rPr>
        <w:t>4</w:t>
      </w:r>
      <w:r w:rsidRPr="00F212E7">
        <w:rPr>
          <w:rFonts w:eastAsia="仿宋_GB2312" w:hint="eastAsia"/>
          <w:bCs/>
          <w:caps/>
          <w:sz w:val="32"/>
          <w:szCs w:val="32"/>
        </w:rPr>
        <w:t>人），退出</w:t>
      </w:r>
      <w:r w:rsidRPr="00F212E7">
        <w:rPr>
          <w:rFonts w:eastAsia="仿宋_GB2312" w:hint="eastAsia"/>
          <w:bCs/>
          <w:caps/>
          <w:sz w:val="32"/>
          <w:szCs w:val="32"/>
        </w:rPr>
        <w:t>477</w:t>
      </w:r>
      <w:r w:rsidRPr="00F212E7">
        <w:rPr>
          <w:rFonts w:eastAsia="仿宋_GB2312" w:hint="eastAsia"/>
          <w:bCs/>
          <w:caps/>
          <w:sz w:val="32"/>
          <w:szCs w:val="32"/>
        </w:rPr>
        <w:t>人（低保对象</w:t>
      </w:r>
      <w:r w:rsidRPr="00F212E7">
        <w:rPr>
          <w:rFonts w:eastAsia="仿宋_GB2312" w:hint="eastAsia"/>
          <w:bCs/>
          <w:caps/>
          <w:sz w:val="32"/>
          <w:szCs w:val="32"/>
        </w:rPr>
        <w:t>301</w:t>
      </w:r>
      <w:r w:rsidRPr="00F212E7">
        <w:rPr>
          <w:rFonts w:eastAsia="仿宋_GB2312" w:hint="eastAsia"/>
          <w:bCs/>
          <w:caps/>
          <w:sz w:val="32"/>
          <w:szCs w:val="32"/>
        </w:rPr>
        <w:t>人、低保边缘对象</w:t>
      </w:r>
      <w:r w:rsidRPr="00F212E7">
        <w:rPr>
          <w:rFonts w:eastAsia="仿宋_GB2312" w:hint="eastAsia"/>
          <w:bCs/>
          <w:caps/>
          <w:sz w:val="32"/>
          <w:szCs w:val="32"/>
        </w:rPr>
        <w:t>153</w:t>
      </w:r>
      <w:r w:rsidRPr="00F212E7">
        <w:rPr>
          <w:rFonts w:eastAsia="仿宋_GB2312" w:hint="eastAsia"/>
          <w:bCs/>
          <w:caps/>
          <w:sz w:val="32"/>
          <w:szCs w:val="32"/>
        </w:rPr>
        <w:t>人、特困人员</w:t>
      </w:r>
      <w:r w:rsidRPr="00F212E7">
        <w:rPr>
          <w:rFonts w:eastAsia="仿宋_GB2312" w:hint="eastAsia"/>
          <w:bCs/>
          <w:caps/>
          <w:sz w:val="32"/>
          <w:szCs w:val="32"/>
        </w:rPr>
        <w:t>23</w:t>
      </w:r>
      <w:r w:rsidRPr="00F212E7">
        <w:rPr>
          <w:rFonts w:eastAsia="仿宋_GB2312" w:hint="eastAsia"/>
          <w:bCs/>
          <w:caps/>
          <w:sz w:val="32"/>
          <w:szCs w:val="32"/>
        </w:rPr>
        <w:t>人），共计发放最低生活保障金</w:t>
      </w:r>
      <w:r w:rsidRPr="00F212E7">
        <w:rPr>
          <w:rFonts w:eastAsia="仿宋_GB2312" w:hint="eastAsia"/>
          <w:bCs/>
          <w:caps/>
          <w:sz w:val="32"/>
          <w:szCs w:val="32"/>
        </w:rPr>
        <w:t>3530.01</w:t>
      </w:r>
      <w:r w:rsidRPr="00F212E7">
        <w:rPr>
          <w:rFonts w:eastAsia="仿宋_GB2312" w:hint="eastAsia"/>
          <w:bCs/>
          <w:caps/>
          <w:sz w:val="32"/>
          <w:szCs w:val="32"/>
        </w:rPr>
        <w:t>万元，特困人员供养金</w:t>
      </w:r>
      <w:r w:rsidRPr="00F212E7">
        <w:rPr>
          <w:rFonts w:eastAsia="仿宋_GB2312" w:hint="eastAsia"/>
          <w:bCs/>
          <w:caps/>
          <w:sz w:val="32"/>
          <w:szCs w:val="32"/>
        </w:rPr>
        <w:t>646.27</w:t>
      </w:r>
      <w:r w:rsidRPr="00F212E7">
        <w:rPr>
          <w:rFonts w:eastAsia="仿宋_GB2312" w:hint="eastAsia"/>
          <w:bCs/>
          <w:caps/>
          <w:sz w:val="32"/>
          <w:szCs w:val="32"/>
        </w:rPr>
        <w:t>万元，老年人生</w:t>
      </w:r>
      <w:r w:rsidRPr="00F212E7">
        <w:rPr>
          <w:rFonts w:eastAsia="仿宋_GB2312" w:hint="eastAsia"/>
          <w:bCs/>
          <w:caps/>
          <w:sz w:val="32"/>
          <w:szCs w:val="32"/>
        </w:rPr>
        <w:lastRenderedPageBreak/>
        <w:t>活补助</w:t>
      </w:r>
      <w:r w:rsidRPr="00F212E7">
        <w:rPr>
          <w:rFonts w:eastAsia="仿宋_GB2312" w:hint="eastAsia"/>
          <w:bCs/>
          <w:caps/>
          <w:sz w:val="32"/>
          <w:szCs w:val="32"/>
        </w:rPr>
        <w:t>110.27</w:t>
      </w:r>
      <w:r w:rsidRPr="00F212E7">
        <w:rPr>
          <w:rFonts w:eastAsia="仿宋_GB2312" w:hint="eastAsia"/>
          <w:bCs/>
          <w:caps/>
          <w:sz w:val="32"/>
          <w:szCs w:val="32"/>
        </w:rPr>
        <w:t>万元，幸福增收岗工资</w:t>
      </w:r>
      <w:r w:rsidRPr="00F212E7">
        <w:rPr>
          <w:rFonts w:eastAsia="仿宋_GB2312" w:hint="eastAsia"/>
          <w:bCs/>
          <w:caps/>
          <w:sz w:val="32"/>
          <w:szCs w:val="32"/>
        </w:rPr>
        <w:t>73.71</w:t>
      </w:r>
      <w:r w:rsidRPr="00F212E7">
        <w:rPr>
          <w:rFonts w:eastAsia="仿宋_GB2312" w:hint="eastAsia"/>
          <w:bCs/>
          <w:caps/>
          <w:sz w:val="32"/>
          <w:szCs w:val="32"/>
        </w:rPr>
        <w:t>万元，临时救助</w:t>
      </w:r>
      <w:r w:rsidRPr="00F212E7">
        <w:rPr>
          <w:rFonts w:eastAsia="仿宋_GB2312" w:hint="eastAsia"/>
          <w:bCs/>
          <w:caps/>
          <w:sz w:val="32"/>
          <w:szCs w:val="32"/>
        </w:rPr>
        <w:t>158</w:t>
      </w:r>
      <w:r w:rsidRPr="00F212E7">
        <w:rPr>
          <w:rFonts w:eastAsia="仿宋_GB2312" w:hint="eastAsia"/>
          <w:bCs/>
          <w:caps/>
          <w:sz w:val="32"/>
          <w:szCs w:val="32"/>
        </w:rPr>
        <w:t>人</w:t>
      </w:r>
      <w:r w:rsidRPr="00F212E7">
        <w:rPr>
          <w:rFonts w:eastAsia="仿宋_GB2312" w:hint="eastAsia"/>
          <w:bCs/>
          <w:caps/>
          <w:sz w:val="32"/>
          <w:szCs w:val="32"/>
        </w:rPr>
        <w:t>81.30</w:t>
      </w:r>
      <w:r w:rsidRPr="00F212E7">
        <w:rPr>
          <w:rFonts w:eastAsia="仿宋_GB2312" w:hint="eastAsia"/>
          <w:bCs/>
          <w:caps/>
          <w:sz w:val="32"/>
          <w:szCs w:val="32"/>
        </w:rPr>
        <w:t>万元，为精减退职人员、国民党抗战老兵和三老人员等发放生活补贴</w:t>
      </w:r>
      <w:r w:rsidRPr="00F212E7">
        <w:rPr>
          <w:rFonts w:eastAsia="仿宋_GB2312" w:hint="eastAsia"/>
          <w:bCs/>
          <w:caps/>
          <w:sz w:val="32"/>
          <w:szCs w:val="32"/>
        </w:rPr>
        <w:t>194.85</w:t>
      </w:r>
      <w:r w:rsidRPr="00F212E7">
        <w:rPr>
          <w:rFonts w:eastAsia="仿宋_GB2312" w:hint="eastAsia"/>
          <w:bCs/>
          <w:caps/>
          <w:sz w:val="32"/>
          <w:szCs w:val="32"/>
        </w:rPr>
        <w:t>万元。实施“一站式”医疗救助</w:t>
      </w:r>
      <w:r w:rsidRPr="00F212E7">
        <w:rPr>
          <w:rFonts w:eastAsia="仿宋_GB2312" w:hint="eastAsia"/>
          <w:bCs/>
          <w:caps/>
          <w:sz w:val="32"/>
          <w:szCs w:val="32"/>
        </w:rPr>
        <w:t>70904</w:t>
      </w:r>
      <w:r w:rsidRPr="00F212E7">
        <w:rPr>
          <w:rFonts w:eastAsia="仿宋_GB2312" w:hint="eastAsia"/>
          <w:bCs/>
          <w:caps/>
          <w:sz w:val="32"/>
          <w:szCs w:val="32"/>
        </w:rPr>
        <w:t>人次，救助资金</w:t>
      </w:r>
      <w:r w:rsidRPr="00F212E7">
        <w:rPr>
          <w:rFonts w:eastAsia="仿宋_GB2312" w:hint="eastAsia"/>
          <w:bCs/>
          <w:caps/>
          <w:sz w:val="32"/>
          <w:szCs w:val="32"/>
        </w:rPr>
        <w:t>1130</w:t>
      </w:r>
      <w:r w:rsidRPr="00F212E7">
        <w:rPr>
          <w:rFonts w:eastAsia="仿宋_GB2312" w:hint="eastAsia"/>
          <w:bCs/>
          <w:caps/>
          <w:sz w:val="32"/>
          <w:szCs w:val="32"/>
        </w:rPr>
        <w:t>万元。</w:t>
      </w:r>
    </w:p>
    <w:p w:rsidR="00F014A3" w:rsidRPr="00F212E7" w:rsidRDefault="00CD538F">
      <w:pPr>
        <w:spacing w:line="560" w:lineRule="exact"/>
        <w:ind w:firstLineChars="200" w:firstLine="640"/>
        <w:outlineLvl w:val="0"/>
        <w:rPr>
          <w:rFonts w:eastAsia="仿宋_GB2312"/>
          <w:bCs/>
          <w:caps/>
          <w:sz w:val="32"/>
          <w:szCs w:val="32"/>
        </w:rPr>
      </w:pPr>
      <w:r w:rsidRPr="00F212E7">
        <w:rPr>
          <w:rFonts w:eastAsia="仿宋_GB2312"/>
          <w:bCs/>
          <w:caps/>
          <w:sz w:val="32"/>
          <w:szCs w:val="32"/>
        </w:rPr>
        <w:t>年末城镇职工基本养老保险参保人数</w:t>
      </w:r>
      <w:r w:rsidR="00701085" w:rsidRPr="00F212E7">
        <w:rPr>
          <w:rFonts w:eastAsia="仿宋_GB2312" w:hint="eastAsia"/>
          <w:bCs/>
          <w:caps/>
          <w:sz w:val="32"/>
          <w:szCs w:val="32"/>
        </w:rPr>
        <w:t>89.34</w:t>
      </w:r>
      <w:r w:rsidRPr="00F212E7">
        <w:rPr>
          <w:rFonts w:eastAsia="仿宋_GB2312"/>
          <w:bCs/>
          <w:caps/>
          <w:sz w:val="32"/>
          <w:szCs w:val="32"/>
        </w:rPr>
        <w:t>万人，职工基本医疗保险参保人数</w:t>
      </w:r>
      <w:r w:rsidR="00701085" w:rsidRPr="00F212E7">
        <w:rPr>
          <w:rFonts w:eastAsia="仿宋_GB2312" w:hint="eastAsia"/>
          <w:bCs/>
          <w:caps/>
          <w:sz w:val="32"/>
          <w:szCs w:val="32"/>
        </w:rPr>
        <w:t>81.69</w:t>
      </w:r>
      <w:r w:rsidRPr="00F212E7">
        <w:rPr>
          <w:rFonts w:eastAsia="仿宋_GB2312"/>
          <w:bCs/>
          <w:caps/>
          <w:sz w:val="32"/>
          <w:szCs w:val="32"/>
        </w:rPr>
        <w:t>万人，失业保险参保人数</w:t>
      </w:r>
      <w:r w:rsidR="00701085" w:rsidRPr="00F212E7">
        <w:rPr>
          <w:rFonts w:eastAsia="仿宋_GB2312" w:hint="eastAsia"/>
          <w:bCs/>
          <w:caps/>
          <w:sz w:val="32"/>
          <w:szCs w:val="32"/>
        </w:rPr>
        <w:t>46.98</w:t>
      </w:r>
      <w:r w:rsidRPr="00F212E7">
        <w:rPr>
          <w:rFonts w:eastAsia="仿宋_GB2312"/>
          <w:bCs/>
          <w:caps/>
          <w:sz w:val="32"/>
          <w:szCs w:val="32"/>
        </w:rPr>
        <w:t>万人，工伤保险参保人数</w:t>
      </w:r>
      <w:r w:rsidR="00701085" w:rsidRPr="00F212E7">
        <w:rPr>
          <w:rFonts w:eastAsia="仿宋_GB2312" w:hint="eastAsia"/>
          <w:bCs/>
          <w:caps/>
          <w:sz w:val="32"/>
          <w:szCs w:val="32"/>
        </w:rPr>
        <w:t>78.15</w:t>
      </w:r>
      <w:r w:rsidRPr="00F212E7">
        <w:rPr>
          <w:rFonts w:eastAsia="仿宋_GB2312"/>
          <w:bCs/>
          <w:caps/>
          <w:sz w:val="32"/>
          <w:szCs w:val="32"/>
        </w:rPr>
        <w:t>万人，生育保险参保人数</w:t>
      </w:r>
      <w:r w:rsidR="00701085" w:rsidRPr="00F212E7">
        <w:rPr>
          <w:rFonts w:eastAsia="仿宋_GB2312" w:hint="eastAsia"/>
          <w:bCs/>
          <w:caps/>
          <w:sz w:val="32"/>
          <w:szCs w:val="32"/>
        </w:rPr>
        <w:t>64.67</w:t>
      </w:r>
      <w:r w:rsidRPr="00F212E7">
        <w:rPr>
          <w:rFonts w:eastAsia="仿宋_GB2312"/>
          <w:bCs/>
          <w:caps/>
          <w:sz w:val="32"/>
          <w:szCs w:val="32"/>
        </w:rPr>
        <w:t>万人，城乡居民基本医疗保险人数</w:t>
      </w:r>
      <w:r w:rsidR="00701085" w:rsidRPr="00F212E7">
        <w:rPr>
          <w:rFonts w:eastAsia="仿宋_GB2312" w:hint="eastAsia"/>
          <w:bCs/>
          <w:caps/>
          <w:sz w:val="32"/>
          <w:szCs w:val="32"/>
        </w:rPr>
        <w:t>47.93</w:t>
      </w:r>
      <w:r w:rsidRPr="00F212E7">
        <w:rPr>
          <w:rFonts w:eastAsia="仿宋_GB2312"/>
          <w:bCs/>
          <w:caps/>
          <w:sz w:val="32"/>
          <w:szCs w:val="32"/>
        </w:rPr>
        <w:t>万人。</w:t>
      </w:r>
    </w:p>
    <w:p w:rsidR="00F014A3" w:rsidRPr="00F212E7" w:rsidRDefault="00F014A3">
      <w:pPr>
        <w:spacing w:line="560" w:lineRule="exact"/>
        <w:rPr>
          <w:rFonts w:eastAsia="仿宋"/>
          <w:sz w:val="28"/>
        </w:rPr>
      </w:pPr>
    </w:p>
    <w:p w:rsidR="00F014A3" w:rsidRPr="00F212E7" w:rsidRDefault="00CD538F">
      <w:pPr>
        <w:spacing w:line="560" w:lineRule="exact"/>
        <w:ind w:firstLineChars="200" w:firstLine="560"/>
        <w:rPr>
          <w:rFonts w:eastAsia="仿宋"/>
          <w:sz w:val="28"/>
        </w:rPr>
      </w:pPr>
      <w:r w:rsidRPr="00F212E7">
        <w:rPr>
          <w:rFonts w:eastAsia="仿宋"/>
          <w:sz w:val="28"/>
        </w:rPr>
        <w:t>注释：</w:t>
      </w:r>
    </w:p>
    <w:p w:rsidR="00F014A3" w:rsidRPr="00F212E7" w:rsidRDefault="00CD538F">
      <w:pPr>
        <w:spacing w:line="560" w:lineRule="exact"/>
        <w:ind w:firstLineChars="200" w:firstLine="460"/>
        <w:rPr>
          <w:rFonts w:eastAsia="仿宋"/>
          <w:sz w:val="28"/>
        </w:rPr>
      </w:pPr>
      <w:r w:rsidRPr="00F212E7">
        <w:rPr>
          <w:kern w:val="0"/>
          <w:sz w:val="23"/>
          <w:szCs w:val="23"/>
        </w:rPr>
        <w:t>[1]</w:t>
      </w:r>
      <w:r w:rsidRPr="00F212E7">
        <w:rPr>
          <w:rFonts w:eastAsia="仿宋"/>
          <w:sz w:val="28"/>
        </w:rPr>
        <w:t>本公报所列各项数据为年度初步统计数据，部分数据因四舍五入原因，可能存在与分项合计不等的情况；</w:t>
      </w:r>
    </w:p>
    <w:p w:rsidR="00F014A3" w:rsidRPr="00F212E7" w:rsidRDefault="00CD538F">
      <w:pPr>
        <w:tabs>
          <w:tab w:val="left" w:pos="648"/>
        </w:tabs>
        <w:spacing w:line="560" w:lineRule="exact"/>
        <w:ind w:firstLineChars="200" w:firstLine="460"/>
        <w:outlineLvl w:val="0"/>
        <w:rPr>
          <w:rFonts w:eastAsia="仿宋"/>
          <w:sz w:val="28"/>
        </w:rPr>
      </w:pPr>
      <w:r w:rsidRPr="00F212E7">
        <w:rPr>
          <w:kern w:val="0"/>
          <w:sz w:val="23"/>
          <w:szCs w:val="23"/>
        </w:rPr>
        <w:t>[2]</w:t>
      </w:r>
      <w:r w:rsidRPr="00F212E7">
        <w:rPr>
          <w:rFonts w:eastAsia="仿宋"/>
          <w:sz w:val="28"/>
        </w:rPr>
        <w:t>户籍人口数为公安部门统计年报数；</w:t>
      </w:r>
    </w:p>
    <w:p w:rsidR="00F014A3" w:rsidRPr="00F212E7" w:rsidRDefault="00CD538F">
      <w:pPr>
        <w:tabs>
          <w:tab w:val="left" w:pos="648"/>
        </w:tabs>
        <w:spacing w:line="560" w:lineRule="exact"/>
        <w:ind w:firstLineChars="200" w:firstLine="460"/>
        <w:rPr>
          <w:rFonts w:eastAsia="仿宋"/>
          <w:sz w:val="28"/>
        </w:rPr>
      </w:pPr>
      <w:r w:rsidRPr="00F212E7">
        <w:rPr>
          <w:kern w:val="0"/>
          <w:sz w:val="23"/>
          <w:szCs w:val="23"/>
        </w:rPr>
        <w:t>[3]</w:t>
      </w:r>
      <w:r w:rsidRPr="00F212E7">
        <w:rPr>
          <w:rFonts w:eastAsia="仿宋"/>
          <w:sz w:val="28"/>
        </w:rPr>
        <w:t>公报中</w:t>
      </w:r>
      <w:r w:rsidRPr="00F212E7">
        <w:rPr>
          <w:rFonts w:eastAsia="仿宋" w:hint="eastAsia"/>
          <w:sz w:val="28"/>
        </w:rPr>
        <w:t>地区生产总值、三次产业及相关行业增加值、人均地区生产总值绝对数按现价计算，增长速度按不变价格计算。</w:t>
      </w:r>
    </w:p>
    <w:p w:rsidR="00F014A3" w:rsidRPr="00F212E7" w:rsidRDefault="00CD538F" w:rsidP="00D77F82">
      <w:pPr>
        <w:tabs>
          <w:tab w:val="left" w:pos="648"/>
        </w:tabs>
        <w:spacing w:line="560" w:lineRule="exact"/>
        <w:ind w:firstLineChars="200" w:firstLine="460"/>
        <w:rPr>
          <w:rFonts w:eastAsia="仿宋"/>
          <w:sz w:val="28"/>
        </w:rPr>
      </w:pPr>
      <w:r w:rsidRPr="00F212E7">
        <w:rPr>
          <w:kern w:val="0"/>
          <w:sz w:val="23"/>
          <w:szCs w:val="23"/>
        </w:rPr>
        <w:t>[</w:t>
      </w:r>
      <w:r w:rsidRPr="00F212E7">
        <w:rPr>
          <w:rFonts w:hint="eastAsia"/>
          <w:kern w:val="0"/>
          <w:sz w:val="23"/>
          <w:szCs w:val="23"/>
        </w:rPr>
        <w:t>4</w:t>
      </w:r>
      <w:r w:rsidRPr="00F212E7">
        <w:rPr>
          <w:kern w:val="0"/>
          <w:sz w:val="23"/>
          <w:szCs w:val="23"/>
        </w:rPr>
        <w:t>]</w:t>
      </w:r>
      <w:r w:rsidR="00D77F82" w:rsidRPr="00F212E7">
        <w:rPr>
          <w:rFonts w:eastAsia="仿宋" w:hint="eastAsia"/>
          <w:sz w:val="28"/>
        </w:rPr>
        <w:t>规模以上工业企业指</w:t>
      </w:r>
      <w:bookmarkStart w:id="79" w:name="OLE_LINK1"/>
      <w:bookmarkStart w:id="80" w:name="OLE_LINK2"/>
      <w:r w:rsidR="00D77F82" w:rsidRPr="00F212E7">
        <w:rPr>
          <w:rFonts w:eastAsia="仿宋" w:hint="eastAsia"/>
          <w:sz w:val="28"/>
        </w:rPr>
        <w:t>年</w:t>
      </w:r>
      <w:r w:rsidR="003B5351" w:rsidRPr="00F212E7">
        <w:rPr>
          <w:rFonts w:eastAsia="仿宋" w:hint="eastAsia"/>
          <w:sz w:val="28"/>
        </w:rPr>
        <w:t>主</w:t>
      </w:r>
      <w:r w:rsidR="00D77F82" w:rsidRPr="00F212E7">
        <w:rPr>
          <w:rFonts w:eastAsia="仿宋" w:hint="eastAsia"/>
          <w:sz w:val="28"/>
        </w:rPr>
        <w:t>营业</w:t>
      </w:r>
      <w:r w:rsidR="003B5351" w:rsidRPr="00F212E7">
        <w:rPr>
          <w:rFonts w:eastAsia="仿宋" w:hint="eastAsia"/>
          <w:sz w:val="28"/>
        </w:rPr>
        <w:t>务</w:t>
      </w:r>
      <w:bookmarkEnd w:id="79"/>
      <w:bookmarkEnd w:id="80"/>
      <w:r w:rsidRPr="00F212E7">
        <w:rPr>
          <w:rFonts w:eastAsia="仿宋" w:hint="eastAsia"/>
          <w:sz w:val="28"/>
        </w:rPr>
        <w:t>收入</w:t>
      </w:r>
      <w:r w:rsidRPr="00F212E7">
        <w:rPr>
          <w:rFonts w:eastAsia="仿宋" w:hint="eastAsia"/>
          <w:sz w:val="28"/>
        </w:rPr>
        <w:t>2000</w:t>
      </w:r>
      <w:r w:rsidRPr="00F212E7">
        <w:rPr>
          <w:rFonts w:eastAsia="仿宋" w:hint="eastAsia"/>
          <w:sz w:val="28"/>
        </w:rPr>
        <w:t>万元及以上的工业法人单位</w:t>
      </w:r>
      <w:r w:rsidRPr="00F212E7">
        <w:rPr>
          <w:rFonts w:eastAsia="仿宋"/>
          <w:sz w:val="28"/>
        </w:rPr>
        <w:t>。</w:t>
      </w:r>
    </w:p>
    <w:p w:rsidR="00F014A3" w:rsidRDefault="00CD538F">
      <w:pPr>
        <w:widowControl/>
        <w:tabs>
          <w:tab w:val="left" w:pos="648"/>
        </w:tabs>
        <w:spacing w:line="560" w:lineRule="exact"/>
        <w:ind w:firstLineChars="200" w:firstLine="460"/>
        <w:jc w:val="left"/>
        <w:rPr>
          <w:rFonts w:eastAsia="仿宋"/>
          <w:sz w:val="28"/>
          <w:lang w:bidi="ar"/>
        </w:rPr>
      </w:pPr>
      <w:r w:rsidRPr="00F212E7">
        <w:rPr>
          <w:kern w:val="0"/>
          <w:sz w:val="23"/>
          <w:szCs w:val="23"/>
          <w:lang w:bidi="ar"/>
        </w:rPr>
        <w:t>[</w:t>
      </w:r>
      <w:r w:rsidR="00D77F82" w:rsidRPr="00F212E7">
        <w:rPr>
          <w:rFonts w:hint="eastAsia"/>
          <w:kern w:val="0"/>
          <w:sz w:val="23"/>
          <w:szCs w:val="23"/>
          <w:lang w:bidi="ar"/>
        </w:rPr>
        <w:t>5</w:t>
      </w:r>
      <w:r w:rsidRPr="00F212E7">
        <w:rPr>
          <w:kern w:val="0"/>
          <w:sz w:val="23"/>
          <w:szCs w:val="23"/>
          <w:lang w:bidi="ar"/>
        </w:rPr>
        <w:t>]</w:t>
      </w:r>
      <w:r w:rsidR="00D77F82" w:rsidRPr="00F212E7">
        <w:rPr>
          <w:rFonts w:eastAsia="仿宋"/>
          <w:sz w:val="28"/>
          <w:lang w:bidi="ar"/>
        </w:rPr>
        <w:t>限额以上企业是指</w:t>
      </w:r>
      <w:r w:rsidR="003B5351" w:rsidRPr="00F212E7">
        <w:rPr>
          <w:rFonts w:eastAsia="仿宋" w:hint="eastAsia"/>
          <w:sz w:val="28"/>
        </w:rPr>
        <w:t>年主营业务</w:t>
      </w:r>
      <w:r w:rsidRPr="00F212E7">
        <w:rPr>
          <w:rFonts w:eastAsia="仿宋"/>
          <w:sz w:val="28"/>
          <w:lang w:bidi="ar"/>
        </w:rPr>
        <w:t>收入</w:t>
      </w:r>
      <w:r w:rsidRPr="00F212E7">
        <w:rPr>
          <w:rFonts w:eastAsia="仿宋"/>
          <w:sz w:val="28"/>
          <w:lang w:bidi="ar"/>
        </w:rPr>
        <w:t>2000</w:t>
      </w:r>
      <w:r w:rsidR="00D77F82" w:rsidRPr="00F212E7">
        <w:rPr>
          <w:rFonts w:eastAsia="仿宋"/>
          <w:sz w:val="28"/>
          <w:lang w:bidi="ar"/>
        </w:rPr>
        <w:t>万元及以上的批发业法人单位、</w:t>
      </w:r>
      <w:r w:rsidR="003B5351" w:rsidRPr="00F212E7">
        <w:rPr>
          <w:rFonts w:eastAsia="仿宋" w:hint="eastAsia"/>
          <w:sz w:val="28"/>
        </w:rPr>
        <w:t>年主营业务</w:t>
      </w:r>
      <w:r w:rsidRPr="00F212E7">
        <w:rPr>
          <w:rFonts w:eastAsia="仿宋"/>
          <w:sz w:val="28"/>
          <w:lang w:bidi="ar"/>
        </w:rPr>
        <w:t>收入</w:t>
      </w:r>
      <w:r w:rsidRPr="00F212E7">
        <w:rPr>
          <w:rFonts w:eastAsia="仿宋"/>
          <w:sz w:val="28"/>
          <w:lang w:bidi="ar"/>
        </w:rPr>
        <w:t>500</w:t>
      </w:r>
      <w:r w:rsidR="00D77F82" w:rsidRPr="00F212E7">
        <w:rPr>
          <w:rFonts w:eastAsia="仿宋"/>
          <w:sz w:val="28"/>
          <w:lang w:bidi="ar"/>
        </w:rPr>
        <w:t>万元及以上的零售业法人单位和</w:t>
      </w:r>
      <w:r w:rsidR="003B5351" w:rsidRPr="00F212E7">
        <w:rPr>
          <w:rFonts w:eastAsia="仿宋" w:hint="eastAsia"/>
          <w:sz w:val="28"/>
        </w:rPr>
        <w:t>年主营业务</w:t>
      </w:r>
      <w:r w:rsidRPr="00F212E7">
        <w:rPr>
          <w:rFonts w:eastAsia="仿宋"/>
          <w:sz w:val="28"/>
          <w:lang w:bidi="ar"/>
        </w:rPr>
        <w:t>收入</w:t>
      </w:r>
      <w:r w:rsidRPr="00F212E7">
        <w:rPr>
          <w:rFonts w:eastAsia="仿宋"/>
          <w:sz w:val="28"/>
          <w:lang w:bidi="ar"/>
        </w:rPr>
        <w:t>200</w:t>
      </w:r>
      <w:r w:rsidRPr="00F212E7">
        <w:rPr>
          <w:rFonts w:eastAsia="仿宋"/>
          <w:sz w:val="28"/>
          <w:lang w:bidi="ar"/>
        </w:rPr>
        <w:t>万元及以上的住宿和餐饮业法人单位。</w:t>
      </w:r>
    </w:p>
    <w:p w:rsidR="00F014A3" w:rsidRDefault="00F014A3">
      <w:pPr>
        <w:spacing w:line="560" w:lineRule="exact"/>
        <w:rPr>
          <w:rFonts w:eastAsia="仿宋_GB2312"/>
          <w:sz w:val="32"/>
          <w:szCs w:val="32"/>
        </w:rPr>
      </w:pPr>
    </w:p>
    <w:sectPr w:rsidR="00F014A3">
      <w:headerReference w:type="even" r:id="rId25"/>
      <w:headerReference w:type="default" r:id="rId26"/>
      <w:footerReference w:type="even" r:id="rId27"/>
      <w:footerReference w:type="default" r:id="rId28"/>
      <w:pgSz w:w="11906" w:h="16838"/>
      <w:pgMar w:top="1440" w:right="1800" w:bottom="1440" w:left="1800" w:header="851" w:footer="1304"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73CEE" w:rsidRDefault="00573CEE">
      <w:r>
        <w:separator/>
      </w:r>
    </w:p>
  </w:endnote>
  <w:endnote w:type="continuationSeparator" w:id="0">
    <w:p w:rsidR="00573CEE" w:rsidRDefault="00573C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仿宋_GB2312">
    <w:panose1 w:val="02010609030101010101"/>
    <w:charset w:val="86"/>
    <w:family w:val="modern"/>
    <w:pitch w:val="fixed"/>
    <w:sig w:usb0="00000001" w:usb1="080E0000" w:usb2="00000010" w:usb3="00000000" w:csb0="00040000"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微软雅黑">
    <w:panose1 w:val="020B0503020204020204"/>
    <w:charset w:val="86"/>
    <w:family w:val="swiss"/>
    <w:pitch w:val="variable"/>
    <w:sig w:usb0="80000287" w:usb1="280F3C52" w:usb2="00000016" w:usb3="00000000" w:csb0="0004001F" w:csb1="00000000"/>
  </w:font>
  <w:font w:name="黑体">
    <w:altName w:val="SimHei"/>
    <w:panose1 w:val="02010609060101010101"/>
    <w:charset w:val="86"/>
    <w:family w:val="modern"/>
    <w:pitch w:val="fixed"/>
    <w:sig w:usb0="800002BF" w:usb1="38CF7CFA" w:usb2="00000016" w:usb3="00000000" w:csb0="00040001" w:csb1="00000000"/>
  </w:font>
  <w:font w:name="Consolas">
    <w:panose1 w:val="020B0609020204030204"/>
    <w:charset w:val="00"/>
    <w:family w:val="modern"/>
    <w:pitch w:val="fixed"/>
    <w:sig w:usb0="E10002FF" w:usb1="4000FCFF" w:usb2="00000009" w:usb3="00000000" w:csb0="0000019F" w:csb1="00000000"/>
  </w:font>
  <w:font w:name="方正小标宋简体">
    <w:altName w:val="Arial Unicode MS"/>
    <w:charset w:val="86"/>
    <w:family w:val="script"/>
    <w:pitch w:val="fixed"/>
    <w:sig w:usb0="00000000"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014A3" w:rsidRDefault="00CD538F">
    <w:pPr>
      <w:pStyle w:val="aa"/>
      <w:framePr w:wrap="around" w:vAnchor="text" w:hAnchor="margin" w:xAlign="outside" w:y="1"/>
      <w:ind w:firstLineChars="100" w:firstLine="280"/>
      <w:rPr>
        <w:rStyle w:val="af0"/>
        <w:rFonts w:ascii="宋体" w:hAnsi="宋体"/>
        <w:sz w:val="28"/>
        <w:szCs w:val="28"/>
      </w:rPr>
    </w:pPr>
    <w:r>
      <w:rPr>
        <w:rStyle w:val="af0"/>
        <w:rFonts w:ascii="宋体" w:hAnsi="宋体" w:hint="eastAsia"/>
        <w:sz w:val="28"/>
        <w:szCs w:val="28"/>
      </w:rPr>
      <w:t xml:space="preserve">— </w:t>
    </w:r>
    <w:r>
      <w:rPr>
        <w:rFonts w:ascii="宋体" w:hAnsi="宋体"/>
        <w:sz w:val="28"/>
        <w:szCs w:val="28"/>
      </w:rPr>
      <w:fldChar w:fldCharType="begin"/>
    </w:r>
    <w:r>
      <w:rPr>
        <w:rStyle w:val="af0"/>
        <w:rFonts w:ascii="宋体" w:hAnsi="宋体"/>
        <w:sz w:val="28"/>
        <w:szCs w:val="28"/>
      </w:rPr>
      <w:instrText xml:space="preserve">PAGE  </w:instrText>
    </w:r>
    <w:r>
      <w:rPr>
        <w:rFonts w:ascii="宋体" w:hAnsi="宋体"/>
        <w:sz w:val="28"/>
        <w:szCs w:val="28"/>
      </w:rPr>
      <w:fldChar w:fldCharType="separate"/>
    </w:r>
    <w:r w:rsidR="000E35B8">
      <w:rPr>
        <w:rStyle w:val="af0"/>
        <w:rFonts w:ascii="宋体" w:hAnsi="宋体"/>
        <w:noProof/>
        <w:sz w:val="28"/>
        <w:szCs w:val="28"/>
      </w:rPr>
      <w:t>2</w:t>
    </w:r>
    <w:r>
      <w:rPr>
        <w:rFonts w:ascii="宋体" w:hAnsi="宋体"/>
        <w:sz w:val="28"/>
        <w:szCs w:val="28"/>
      </w:rPr>
      <w:fldChar w:fldCharType="end"/>
    </w:r>
    <w:r>
      <w:rPr>
        <w:rStyle w:val="af0"/>
        <w:rFonts w:ascii="宋体" w:hAnsi="宋体" w:hint="eastAsia"/>
        <w:sz w:val="28"/>
        <w:szCs w:val="28"/>
      </w:rPr>
      <w:t xml:space="preserve"> —</w:t>
    </w:r>
  </w:p>
  <w:p w:rsidR="00F014A3" w:rsidRDefault="00F014A3">
    <w:pPr>
      <w:pStyle w:val="aa"/>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014A3" w:rsidRDefault="00CD538F">
    <w:pPr>
      <w:pStyle w:val="aa"/>
      <w:framePr w:w="1312" w:wrap="around" w:vAnchor="text" w:hAnchor="page" w:x="9205" w:y="-2"/>
      <w:rPr>
        <w:rStyle w:val="af0"/>
        <w:rFonts w:ascii="宋体" w:hAnsi="宋体"/>
        <w:sz w:val="28"/>
        <w:szCs w:val="28"/>
      </w:rPr>
    </w:pPr>
    <w:r>
      <w:rPr>
        <w:rStyle w:val="af0"/>
        <w:rFonts w:ascii="宋体" w:hAnsi="宋体" w:hint="eastAsia"/>
        <w:sz w:val="28"/>
        <w:szCs w:val="28"/>
      </w:rPr>
      <w:t xml:space="preserve">— </w:t>
    </w:r>
    <w:r>
      <w:rPr>
        <w:rFonts w:ascii="宋体" w:hAnsi="宋体"/>
        <w:sz w:val="28"/>
        <w:szCs w:val="28"/>
      </w:rPr>
      <w:fldChar w:fldCharType="begin"/>
    </w:r>
    <w:r>
      <w:rPr>
        <w:rStyle w:val="af0"/>
        <w:rFonts w:ascii="宋体" w:hAnsi="宋体"/>
        <w:sz w:val="28"/>
        <w:szCs w:val="28"/>
      </w:rPr>
      <w:instrText xml:space="preserve">PAGE  </w:instrText>
    </w:r>
    <w:r>
      <w:rPr>
        <w:rFonts w:ascii="宋体" w:hAnsi="宋体"/>
        <w:sz w:val="28"/>
        <w:szCs w:val="28"/>
      </w:rPr>
      <w:fldChar w:fldCharType="separate"/>
    </w:r>
    <w:r w:rsidR="000E35B8">
      <w:rPr>
        <w:rStyle w:val="af0"/>
        <w:rFonts w:ascii="宋体" w:hAnsi="宋体"/>
        <w:noProof/>
        <w:sz w:val="28"/>
        <w:szCs w:val="28"/>
      </w:rPr>
      <w:t>1</w:t>
    </w:r>
    <w:r>
      <w:rPr>
        <w:rFonts w:ascii="宋体" w:hAnsi="宋体"/>
        <w:sz w:val="28"/>
        <w:szCs w:val="28"/>
      </w:rPr>
      <w:fldChar w:fldCharType="end"/>
    </w:r>
    <w:r>
      <w:rPr>
        <w:rStyle w:val="af0"/>
        <w:rFonts w:ascii="宋体" w:hAnsi="宋体" w:hint="eastAsia"/>
        <w:sz w:val="28"/>
        <w:szCs w:val="28"/>
      </w:rPr>
      <w:t xml:space="preserve"> —</w:t>
    </w:r>
  </w:p>
  <w:p w:rsidR="00F014A3" w:rsidRDefault="00F014A3">
    <w:pPr>
      <w:pStyle w:val="aa"/>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73CEE" w:rsidRDefault="00573CEE">
      <w:r>
        <w:separator/>
      </w:r>
    </w:p>
  </w:footnote>
  <w:footnote w:type="continuationSeparator" w:id="0">
    <w:p w:rsidR="00573CEE" w:rsidRDefault="00573CE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014A3" w:rsidRDefault="00F014A3">
    <w:pPr>
      <w:pStyle w:val="ab"/>
      <w:pBdr>
        <w:bottom w:val="none" w:sz="0" w:space="0" w:color="auto"/>
      </w:pBdr>
      <w:rPr>
        <w:bdr w:val="single" w:sz="6" w:space="0" w:color="auto"/>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014A3" w:rsidRDefault="00F014A3">
    <w:pPr>
      <w:pStyle w:val="ab"/>
      <w:pBdr>
        <w:bottom w:val="none" w:sz="0" w:space="0" w:color="auto"/>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evenAndOddHeaders/>
  <w:drawingGridHorizontalSpacing w:val="105"/>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3B113BE"/>
    <w:rsid w:val="73B113BE"/>
    <w:rsid w:val="837F262B"/>
    <w:rsid w:val="973561A4"/>
    <w:rsid w:val="976F4A2E"/>
    <w:rsid w:val="977DB9D5"/>
    <w:rsid w:val="97BBDD5A"/>
    <w:rsid w:val="9B9869DA"/>
    <w:rsid w:val="9FA36B08"/>
    <w:rsid w:val="9FD52F64"/>
    <w:rsid w:val="9FDB4663"/>
    <w:rsid w:val="9FFDB7B8"/>
    <w:rsid w:val="9FFFA1E9"/>
    <w:rsid w:val="A52F0A84"/>
    <w:rsid w:val="A66699B1"/>
    <w:rsid w:val="A7D30ACA"/>
    <w:rsid w:val="A7E16057"/>
    <w:rsid w:val="AF5565E3"/>
    <w:rsid w:val="AFBD15AD"/>
    <w:rsid w:val="B8FD301B"/>
    <w:rsid w:val="BACFFFE0"/>
    <w:rsid w:val="BB488324"/>
    <w:rsid w:val="BB6E7459"/>
    <w:rsid w:val="BB915B2E"/>
    <w:rsid w:val="BBAF824C"/>
    <w:rsid w:val="BBEA45D1"/>
    <w:rsid w:val="BBEFEA56"/>
    <w:rsid w:val="BBFD8C1A"/>
    <w:rsid w:val="BC7DE892"/>
    <w:rsid w:val="BDE62BC8"/>
    <w:rsid w:val="BDFB41F9"/>
    <w:rsid w:val="BEE464EB"/>
    <w:rsid w:val="BEFDD595"/>
    <w:rsid w:val="BEFF1F4C"/>
    <w:rsid w:val="BF5FE01A"/>
    <w:rsid w:val="BF765EC5"/>
    <w:rsid w:val="BF79D4FF"/>
    <w:rsid w:val="BF7B409F"/>
    <w:rsid w:val="BFB3D6CE"/>
    <w:rsid w:val="BFBD39D1"/>
    <w:rsid w:val="BFBFCED0"/>
    <w:rsid w:val="BFDB5108"/>
    <w:rsid w:val="BFDD2B51"/>
    <w:rsid w:val="BFDDEE46"/>
    <w:rsid w:val="BFE96E72"/>
    <w:rsid w:val="C0BA9312"/>
    <w:rsid w:val="C3BCF781"/>
    <w:rsid w:val="C5DF1F8D"/>
    <w:rsid w:val="C5F9E8FC"/>
    <w:rsid w:val="C7FFBA68"/>
    <w:rsid w:val="CDFFE7F6"/>
    <w:rsid w:val="CEF32EC9"/>
    <w:rsid w:val="CFBFFC44"/>
    <w:rsid w:val="CFFF001F"/>
    <w:rsid w:val="D5B5F171"/>
    <w:rsid w:val="D5D63085"/>
    <w:rsid w:val="D67F370C"/>
    <w:rsid w:val="D6AF430F"/>
    <w:rsid w:val="D73E27DB"/>
    <w:rsid w:val="D7BB45FA"/>
    <w:rsid w:val="D7DF9E58"/>
    <w:rsid w:val="D9A3D089"/>
    <w:rsid w:val="D9BFA6F4"/>
    <w:rsid w:val="D9DF53B6"/>
    <w:rsid w:val="D9EBAA30"/>
    <w:rsid w:val="D9FE76A5"/>
    <w:rsid w:val="DBFF16E6"/>
    <w:rsid w:val="DD7EE0F6"/>
    <w:rsid w:val="DDF328AD"/>
    <w:rsid w:val="DDFFA9FF"/>
    <w:rsid w:val="DEF1ECFF"/>
    <w:rsid w:val="DF7BB82C"/>
    <w:rsid w:val="DF7E8E13"/>
    <w:rsid w:val="DFB28030"/>
    <w:rsid w:val="DFCEC06D"/>
    <w:rsid w:val="DFDCD691"/>
    <w:rsid w:val="DFDED925"/>
    <w:rsid w:val="DFE72683"/>
    <w:rsid w:val="DFFE6D34"/>
    <w:rsid w:val="DFFE8A6B"/>
    <w:rsid w:val="DFFF0E00"/>
    <w:rsid w:val="DFFF6A50"/>
    <w:rsid w:val="E3FF0288"/>
    <w:rsid w:val="E4EFDC30"/>
    <w:rsid w:val="E4FFD7F7"/>
    <w:rsid w:val="E5CEF41E"/>
    <w:rsid w:val="E637866F"/>
    <w:rsid w:val="E7FBA3EE"/>
    <w:rsid w:val="E9779856"/>
    <w:rsid w:val="EA6FE9D9"/>
    <w:rsid w:val="EBBFB83F"/>
    <w:rsid w:val="EBFB0A39"/>
    <w:rsid w:val="ED7D3BFA"/>
    <w:rsid w:val="EDFF3582"/>
    <w:rsid w:val="EE5B6782"/>
    <w:rsid w:val="EF370F06"/>
    <w:rsid w:val="EF6DC2E7"/>
    <w:rsid w:val="EF9D7DF1"/>
    <w:rsid w:val="EFA6D357"/>
    <w:rsid w:val="EFDF62DD"/>
    <w:rsid w:val="EFF62FDB"/>
    <w:rsid w:val="EFFA85F6"/>
    <w:rsid w:val="EFFE4F62"/>
    <w:rsid w:val="F1BF4C32"/>
    <w:rsid w:val="F1FB6C19"/>
    <w:rsid w:val="F26ABB36"/>
    <w:rsid w:val="F2EB2886"/>
    <w:rsid w:val="F376B990"/>
    <w:rsid w:val="F37DC68D"/>
    <w:rsid w:val="F3E4AE9D"/>
    <w:rsid w:val="F3FF2B52"/>
    <w:rsid w:val="F43FD042"/>
    <w:rsid w:val="F5DDE3A7"/>
    <w:rsid w:val="F6FF55D2"/>
    <w:rsid w:val="F757F9F9"/>
    <w:rsid w:val="F77D7784"/>
    <w:rsid w:val="F77D82BB"/>
    <w:rsid w:val="F77E11FF"/>
    <w:rsid w:val="F78522E8"/>
    <w:rsid w:val="F7BC0DFB"/>
    <w:rsid w:val="F7BDBD7D"/>
    <w:rsid w:val="F7DB2704"/>
    <w:rsid w:val="F7EF17A4"/>
    <w:rsid w:val="F7F3E1DB"/>
    <w:rsid w:val="F7F3E8B2"/>
    <w:rsid w:val="F7FF4E07"/>
    <w:rsid w:val="F8B770A3"/>
    <w:rsid w:val="F8FBA1C2"/>
    <w:rsid w:val="F8FFF42D"/>
    <w:rsid w:val="F97DB2DE"/>
    <w:rsid w:val="F9F64AD1"/>
    <w:rsid w:val="FA3F067F"/>
    <w:rsid w:val="FA7F5735"/>
    <w:rsid w:val="FABF7032"/>
    <w:rsid w:val="FAD3B23E"/>
    <w:rsid w:val="FB1D5745"/>
    <w:rsid w:val="FB5F2920"/>
    <w:rsid w:val="FB7F8581"/>
    <w:rsid w:val="FBCFE99F"/>
    <w:rsid w:val="FBD5F55C"/>
    <w:rsid w:val="FBD705A0"/>
    <w:rsid w:val="FBD77603"/>
    <w:rsid w:val="FBE3E988"/>
    <w:rsid w:val="FBE744B0"/>
    <w:rsid w:val="FBF08C60"/>
    <w:rsid w:val="FBFB4D4E"/>
    <w:rsid w:val="FBFD3430"/>
    <w:rsid w:val="FBFE437A"/>
    <w:rsid w:val="FBFEE8F7"/>
    <w:rsid w:val="FBFF5D51"/>
    <w:rsid w:val="FBFF8411"/>
    <w:rsid w:val="FBFFE7D5"/>
    <w:rsid w:val="FCB41F12"/>
    <w:rsid w:val="FCE941F5"/>
    <w:rsid w:val="FD3E5E12"/>
    <w:rsid w:val="FD3F62A1"/>
    <w:rsid w:val="FD791336"/>
    <w:rsid w:val="FD95E2A2"/>
    <w:rsid w:val="FDBCC797"/>
    <w:rsid w:val="FDBD2D8E"/>
    <w:rsid w:val="FDBE84AA"/>
    <w:rsid w:val="FDEFCFF4"/>
    <w:rsid w:val="FDF3CF15"/>
    <w:rsid w:val="FDFD765B"/>
    <w:rsid w:val="FDFFA93E"/>
    <w:rsid w:val="FE3FBA32"/>
    <w:rsid w:val="FE588DF3"/>
    <w:rsid w:val="FE7CB197"/>
    <w:rsid w:val="FE976E11"/>
    <w:rsid w:val="FEB55432"/>
    <w:rsid w:val="FEBEEABD"/>
    <w:rsid w:val="FEBEFB15"/>
    <w:rsid w:val="FEBFF16B"/>
    <w:rsid w:val="FECF1C60"/>
    <w:rsid w:val="FEDDBE67"/>
    <w:rsid w:val="FEF70EB4"/>
    <w:rsid w:val="FF7B175B"/>
    <w:rsid w:val="FFA96CD3"/>
    <w:rsid w:val="FFAD0602"/>
    <w:rsid w:val="FFB51B23"/>
    <w:rsid w:val="FFB760E3"/>
    <w:rsid w:val="FFCF0B3F"/>
    <w:rsid w:val="FFDAFB21"/>
    <w:rsid w:val="FFEBA4AC"/>
    <w:rsid w:val="FFEF34A5"/>
    <w:rsid w:val="FFEF3892"/>
    <w:rsid w:val="FFF3AD64"/>
    <w:rsid w:val="FFF591EA"/>
    <w:rsid w:val="FFF70286"/>
    <w:rsid w:val="00000787"/>
    <w:rsid w:val="00000C4A"/>
    <w:rsid w:val="0000131C"/>
    <w:rsid w:val="0000174E"/>
    <w:rsid w:val="00002415"/>
    <w:rsid w:val="0000272C"/>
    <w:rsid w:val="0000343A"/>
    <w:rsid w:val="00003474"/>
    <w:rsid w:val="00003D6A"/>
    <w:rsid w:val="0000473F"/>
    <w:rsid w:val="000047C0"/>
    <w:rsid w:val="00004A01"/>
    <w:rsid w:val="00004AFF"/>
    <w:rsid w:val="00004C3C"/>
    <w:rsid w:val="0000580D"/>
    <w:rsid w:val="000062E8"/>
    <w:rsid w:val="00006D41"/>
    <w:rsid w:val="00007D7C"/>
    <w:rsid w:val="0001029E"/>
    <w:rsid w:val="000108AB"/>
    <w:rsid w:val="0001231A"/>
    <w:rsid w:val="0001274B"/>
    <w:rsid w:val="00012A14"/>
    <w:rsid w:val="00012A83"/>
    <w:rsid w:val="00012B92"/>
    <w:rsid w:val="0001329D"/>
    <w:rsid w:val="000136BB"/>
    <w:rsid w:val="000148BB"/>
    <w:rsid w:val="00014BA0"/>
    <w:rsid w:val="000150E3"/>
    <w:rsid w:val="0001541C"/>
    <w:rsid w:val="00015BAB"/>
    <w:rsid w:val="00016016"/>
    <w:rsid w:val="00016A98"/>
    <w:rsid w:val="00016C6A"/>
    <w:rsid w:val="00016D62"/>
    <w:rsid w:val="00016FB1"/>
    <w:rsid w:val="00017418"/>
    <w:rsid w:val="000174F0"/>
    <w:rsid w:val="000176BC"/>
    <w:rsid w:val="00017726"/>
    <w:rsid w:val="00020766"/>
    <w:rsid w:val="00021B40"/>
    <w:rsid w:val="000222E1"/>
    <w:rsid w:val="00022C5E"/>
    <w:rsid w:val="0002375F"/>
    <w:rsid w:val="00023AA1"/>
    <w:rsid w:val="00023C58"/>
    <w:rsid w:val="00024429"/>
    <w:rsid w:val="0002452F"/>
    <w:rsid w:val="00024892"/>
    <w:rsid w:val="0002493D"/>
    <w:rsid w:val="00024D44"/>
    <w:rsid w:val="000257E3"/>
    <w:rsid w:val="00025C7A"/>
    <w:rsid w:val="000267E5"/>
    <w:rsid w:val="00026913"/>
    <w:rsid w:val="00026FF4"/>
    <w:rsid w:val="000274D1"/>
    <w:rsid w:val="00027C9F"/>
    <w:rsid w:val="00027EBE"/>
    <w:rsid w:val="00027F05"/>
    <w:rsid w:val="000303F9"/>
    <w:rsid w:val="000316FD"/>
    <w:rsid w:val="0003176E"/>
    <w:rsid w:val="00031823"/>
    <w:rsid w:val="00031907"/>
    <w:rsid w:val="0003212F"/>
    <w:rsid w:val="00032793"/>
    <w:rsid w:val="000334CF"/>
    <w:rsid w:val="00033EF0"/>
    <w:rsid w:val="000357AD"/>
    <w:rsid w:val="000357C0"/>
    <w:rsid w:val="00035921"/>
    <w:rsid w:val="00035999"/>
    <w:rsid w:val="000362F6"/>
    <w:rsid w:val="000365EB"/>
    <w:rsid w:val="000367C5"/>
    <w:rsid w:val="00036852"/>
    <w:rsid w:val="000368B2"/>
    <w:rsid w:val="00037520"/>
    <w:rsid w:val="00037696"/>
    <w:rsid w:val="00037AC1"/>
    <w:rsid w:val="00037C1C"/>
    <w:rsid w:val="0004035D"/>
    <w:rsid w:val="00040804"/>
    <w:rsid w:val="0004081D"/>
    <w:rsid w:val="00041687"/>
    <w:rsid w:val="0004260F"/>
    <w:rsid w:val="00043E12"/>
    <w:rsid w:val="0004467A"/>
    <w:rsid w:val="00044904"/>
    <w:rsid w:val="00044ABE"/>
    <w:rsid w:val="000453EB"/>
    <w:rsid w:val="000455A3"/>
    <w:rsid w:val="00045767"/>
    <w:rsid w:val="00045EC4"/>
    <w:rsid w:val="000464BC"/>
    <w:rsid w:val="00047295"/>
    <w:rsid w:val="000472BD"/>
    <w:rsid w:val="000475C9"/>
    <w:rsid w:val="00051169"/>
    <w:rsid w:val="000511D8"/>
    <w:rsid w:val="00051F08"/>
    <w:rsid w:val="0005310B"/>
    <w:rsid w:val="00053153"/>
    <w:rsid w:val="000536F2"/>
    <w:rsid w:val="00053936"/>
    <w:rsid w:val="00053A86"/>
    <w:rsid w:val="00053B9A"/>
    <w:rsid w:val="00053C14"/>
    <w:rsid w:val="000546AE"/>
    <w:rsid w:val="00055C11"/>
    <w:rsid w:val="0005621E"/>
    <w:rsid w:val="00057896"/>
    <w:rsid w:val="00060582"/>
    <w:rsid w:val="000607D4"/>
    <w:rsid w:val="00060FCC"/>
    <w:rsid w:val="000619E9"/>
    <w:rsid w:val="00062082"/>
    <w:rsid w:val="000625F6"/>
    <w:rsid w:val="00062748"/>
    <w:rsid w:val="00062987"/>
    <w:rsid w:val="00063213"/>
    <w:rsid w:val="000635B5"/>
    <w:rsid w:val="00063C54"/>
    <w:rsid w:val="00064309"/>
    <w:rsid w:val="0006443B"/>
    <w:rsid w:val="00064607"/>
    <w:rsid w:val="0006465F"/>
    <w:rsid w:val="00064B51"/>
    <w:rsid w:val="00065023"/>
    <w:rsid w:val="0006537A"/>
    <w:rsid w:val="00065577"/>
    <w:rsid w:val="0006582D"/>
    <w:rsid w:val="0006657B"/>
    <w:rsid w:val="000665E5"/>
    <w:rsid w:val="00066878"/>
    <w:rsid w:val="00066E83"/>
    <w:rsid w:val="000670A5"/>
    <w:rsid w:val="00067150"/>
    <w:rsid w:val="0006775D"/>
    <w:rsid w:val="00067AFD"/>
    <w:rsid w:val="00067DC4"/>
    <w:rsid w:val="00067F7C"/>
    <w:rsid w:val="0007046E"/>
    <w:rsid w:val="00070BA4"/>
    <w:rsid w:val="00070F65"/>
    <w:rsid w:val="0007119C"/>
    <w:rsid w:val="000716B3"/>
    <w:rsid w:val="00072704"/>
    <w:rsid w:val="0007290C"/>
    <w:rsid w:val="00072CC5"/>
    <w:rsid w:val="000733FA"/>
    <w:rsid w:val="00073749"/>
    <w:rsid w:val="00074149"/>
    <w:rsid w:val="000741A8"/>
    <w:rsid w:val="000741AD"/>
    <w:rsid w:val="0007486D"/>
    <w:rsid w:val="00074D0A"/>
    <w:rsid w:val="00075E13"/>
    <w:rsid w:val="000760C8"/>
    <w:rsid w:val="00076443"/>
    <w:rsid w:val="00076628"/>
    <w:rsid w:val="000766D0"/>
    <w:rsid w:val="000768EE"/>
    <w:rsid w:val="000774FD"/>
    <w:rsid w:val="00077910"/>
    <w:rsid w:val="0008131C"/>
    <w:rsid w:val="00081C43"/>
    <w:rsid w:val="0008234F"/>
    <w:rsid w:val="00082711"/>
    <w:rsid w:val="000831BB"/>
    <w:rsid w:val="00083429"/>
    <w:rsid w:val="000834E4"/>
    <w:rsid w:val="00083A93"/>
    <w:rsid w:val="000843DD"/>
    <w:rsid w:val="00084D07"/>
    <w:rsid w:val="00084D3F"/>
    <w:rsid w:val="000853CD"/>
    <w:rsid w:val="00085634"/>
    <w:rsid w:val="000858D6"/>
    <w:rsid w:val="000860D2"/>
    <w:rsid w:val="00086125"/>
    <w:rsid w:val="000862DA"/>
    <w:rsid w:val="00086669"/>
    <w:rsid w:val="000867B7"/>
    <w:rsid w:val="00090743"/>
    <w:rsid w:val="00090817"/>
    <w:rsid w:val="00090D73"/>
    <w:rsid w:val="00091726"/>
    <w:rsid w:val="0009253E"/>
    <w:rsid w:val="00092CEE"/>
    <w:rsid w:val="00092FD2"/>
    <w:rsid w:val="000930CF"/>
    <w:rsid w:val="000932FB"/>
    <w:rsid w:val="000936ED"/>
    <w:rsid w:val="00094096"/>
    <w:rsid w:val="000941C7"/>
    <w:rsid w:val="000948A8"/>
    <w:rsid w:val="000948D5"/>
    <w:rsid w:val="00095304"/>
    <w:rsid w:val="00095659"/>
    <w:rsid w:val="000957B7"/>
    <w:rsid w:val="00095C46"/>
    <w:rsid w:val="00095C8B"/>
    <w:rsid w:val="00096132"/>
    <w:rsid w:val="00096796"/>
    <w:rsid w:val="00096B83"/>
    <w:rsid w:val="000970A7"/>
    <w:rsid w:val="000972C4"/>
    <w:rsid w:val="0009738C"/>
    <w:rsid w:val="0009750C"/>
    <w:rsid w:val="00097609"/>
    <w:rsid w:val="00097C5A"/>
    <w:rsid w:val="000A0018"/>
    <w:rsid w:val="000A05C8"/>
    <w:rsid w:val="000A0875"/>
    <w:rsid w:val="000A109A"/>
    <w:rsid w:val="000A121E"/>
    <w:rsid w:val="000A170E"/>
    <w:rsid w:val="000A1711"/>
    <w:rsid w:val="000A26F1"/>
    <w:rsid w:val="000A2A11"/>
    <w:rsid w:val="000A2CB6"/>
    <w:rsid w:val="000A2FCA"/>
    <w:rsid w:val="000A3264"/>
    <w:rsid w:val="000A3383"/>
    <w:rsid w:val="000A3429"/>
    <w:rsid w:val="000A59ED"/>
    <w:rsid w:val="000A6EA3"/>
    <w:rsid w:val="000A7D50"/>
    <w:rsid w:val="000A7E41"/>
    <w:rsid w:val="000B0596"/>
    <w:rsid w:val="000B08CE"/>
    <w:rsid w:val="000B0FB1"/>
    <w:rsid w:val="000B10D7"/>
    <w:rsid w:val="000B12C7"/>
    <w:rsid w:val="000B1BA7"/>
    <w:rsid w:val="000B2111"/>
    <w:rsid w:val="000B21DE"/>
    <w:rsid w:val="000B24C7"/>
    <w:rsid w:val="000B28A9"/>
    <w:rsid w:val="000B4204"/>
    <w:rsid w:val="000B562F"/>
    <w:rsid w:val="000B6BC3"/>
    <w:rsid w:val="000B6CDA"/>
    <w:rsid w:val="000B70B4"/>
    <w:rsid w:val="000B75D7"/>
    <w:rsid w:val="000C0126"/>
    <w:rsid w:val="000C0153"/>
    <w:rsid w:val="000C019A"/>
    <w:rsid w:val="000C06A1"/>
    <w:rsid w:val="000C0B12"/>
    <w:rsid w:val="000C0DEF"/>
    <w:rsid w:val="000C12F2"/>
    <w:rsid w:val="000C1833"/>
    <w:rsid w:val="000C2872"/>
    <w:rsid w:val="000C2DED"/>
    <w:rsid w:val="000C2EBC"/>
    <w:rsid w:val="000C44E4"/>
    <w:rsid w:val="000C4821"/>
    <w:rsid w:val="000C49BF"/>
    <w:rsid w:val="000C4BC0"/>
    <w:rsid w:val="000C4C9F"/>
    <w:rsid w:val="000C58FA"/>
    <w:rsid w:val="000C59DB"/>
    <w:rsid w:val="000C5C1C"/>
    <w:rsid w:val="000C5D64"/>
    <w:rsid w:val="000C5F75"/>
    <w:rsid w:val="000C605E"/>
    <w:rsid w:val="000C68ED"/>
    <w:rsid w:val="000C7178"/>
    <w:rsid w:val="000C759F"/>
    <w:rsid w:val="000D13B5"/>
    <w:rsid w:val="000D149F"/>
    <w:rsid w:val="000D1546"/>
    <w:rsid w:val="000D1679"/>
    <w:rsid w:val="000D1AD2"/>
    <w:rsid w:val="000D1F63"/>
    <w:rsid w:val="000D27A7"/>
    <w:rsid w:val="000D2B6E"/>
    <w:rsid w:val="000D39F3"/>
    <w:rsid w:val="000D4294"/>
    <w:rsid w:val="000D443F"/>
    <w:rsid w:val="000D46DE"/>
    <w:rsid w:val="000D54E2"/>
    <w:rsid w:val="000D601A"/>
    <w:rsid w:val="000D646D"/>
    <w:rsid w:val="000D73FB"/>
    <w:rsid w:val="000D7732"/>
    <w:rsid w:val="000E0583"/>
    <w:rsid w:val="000E0723"/>
    <w:rsid w:val="000E097F"/>
    <w:rsid w:val="000E0B08"/>
    <w:rsid w:val="000E1021"/>
    <w:rsid w:val="000E136E"/>
    <w:rsid w:val="000E16C7"/>
    <w:rsid w:val="000E221C"/>
    <w:rsid w:val="000E244F"/>
    <w:rsid w:val="000E2A77"/>
    <w:rsid w:val="000E2EC1"/>
    <w:rsid w:val="000E35B8"/>
    <w:rsid w:val="000E3CDD"/>
    <w:rsid w:val="000E3D0B"/>
    <w:rsid w:val="000E3E4E"/>
    <w:rsid w:val="000E4454"/>
    <w:rsid w:val="000E4DB2"/>
    <w:rsid w:val="000E4EA8"/>
    <w:rsid w:val="000E4F1A"/>
    <w:rsid w:val="000E5814"/>
    <w:rsid w:val="000E5980"/>
    <w:rsid w:val="000E59ED"/>
    <w:rsid w:val="000E5C82"/>
    <w:rsid w:val="000E5DBF"/>
    <w:rsid w:val="000E5E49"/>
    <w:rsid w:val="000E6263"/>
    <w:rsid w:val="000E68B4"/>
    <w:rsid w:val="000E734A"/>
    <w:rsid w:val="000E735D"/>
    <w:rsid w:val="000E783A"/>
    <w:rsid w:val="000F00CE"/>
    <w:rsid w:val="000F01F0"/>
    <w:rsid w:val="000F06F7"/>
    <w:rsid w:val="000F09EA"/>
    <w:rsid w:val="000F0C49"/>
    <w:rsid w:val="000F118B"/>
    <w:rsid w:val="000F1527"/>
    <w:rsid w:val="000F1FF9"/>
    <w:rsid w:val="000F2130"/>
    <w:rsid w:val="000F2184"/>
    <w:rsid w:val="000F231E"/>
    <w:rsid w:val="000F2482"/>
    <w:rsid w:val="000F2A3E"/>
    <w:rsid w:val="000F2BB0"/>
    <w:rsid w:val="000F2C33"/>
    <w:rsid w:val="000F2E55"/>
    <w:rsid w:val="000F3820"/>
    <w:rsid w:val="000F3F2D"/>
    <w:rsid w:val="000F4340"/>
    <w:rsid w:val="000F457A"/>
    <w:rsid w:val="000F48BD"/>
    <w:rsid w:val="000F4C62"/>
    <w:rsid w:val="000F4F8F"/>
    <w:rsid w:val="000F5608"/>
    <w:rsid w:val="000F5657"/>
    <w:rsid w:val="000F63B0"/>
    <w:rsid w:val="000F6441"/>
    <w:rsid w:val="000F64B2"/>
    <w:rsid w:val="000F6EE9"/>
    <w:rsid w:val="000F6EFA"/>
    <w:rsid w:val="000F71AE"/>
    <w:rsid w:val="000F77C2"/>
    <w:rsid w:val="000F79B3"/>
    <w:rsid w:val="000F7A89"/>
    <w:rsid w:val="00100683"/>
    <w:rsid w:val="00101002"/>
    <w:rsid w:val="00101B1E"/>
    <w:rsid w:val="001023EC"/>
    <w:rsid w:val="001027B2"/>
    <w:rsid w:val="00102ACB"/>
    <w:rsid w:val="001030B0"/>
    <w:rsid w:val="00103F29"/>
    <w:rsid w:val="00104A1F"/>
    <w:rsid w:val="00105531"/>
    <w:rsid w:val="0010584D"/>
    <w:rsid w:val="00105DAB"/>
    <w:rsid w:val="00105E89"/>
    <w:rsid w:val="00105FDA"/>
    <w:rsid w:val="00106697"/>
    <w:rsid w:val="0010694C"/>
    <w:rsid w:val="00106D59"/>
    <w:rsid w:val="00106D6D"/>
    <w:rsid w:val="00107088"/>
    <w:rsid w:val="0010796A"/>
    <w:rsid w:val="00107A47"/>
    <w:rsid w:val="00107C8C"/>
    <w:rsid w:val="00107D36"/>
    <w:rsid w:val="001104CD"/>
    <w:rsid w:val="0011093F"/>
    <w:rsid w:val="00110E5F"/>
    <w:rsid w:val="00111406"/>
    <w:rsid w:val="001115BA"/>
    <w:rsid w:val="001118EC"/>
    <w:rsid w:val="00111AF1"/>
    <w:rsid w:val="0011235F"/>
    <w:rsid w:val="001126E1"/>
    <w:rsid w:val="00112B7F"/>
    <w:rsid w:val="00112B8C"/>
    <w:rsid w:val="00113E02"/>
    <w:rsid w:val="0011428B"/>
    <w:rsid w:val="00114396"/>
    <w:rsid w:val="00114BAB"/>
    <w:rsid w:val="00114DDB"/>
    <w:rsid w:val="00115018"/>
    <w:rsid w:val="00115962"/>
    <w:rsid w:val="00115DB1"/>
    <w:rsid w:val="00116AD9"/>
    <w:rsid w:val="00116BA8"/>
    <w:rsid w:val="0011707C"/>
    <w:rsid w:val="001175B3"/>
    <w:rsid w:val="00117889"/>
    <w:rsid w:val="00120134"/>
    <w:rsid w:val="0012019D"/>
    <w:rsid w:val="00120232"/>
    <w:rsid w:val="00120913"/>
    <w:rsid w:val="001214F9"/>
    <w:rsid w:val="001216A7"/>
    <w:rsid w:val="00121A9F"/>
    <w:rsid w:val="0012313C"/>
    <w:rsid w:val="00123223"/>
    <w:rsid w:val="001233CA"/>
    <w:rsid w:val="00123593"/>
    <w:rsid w:val="00123ABC"/>
    <w:rsid w:val="00123D98"/>
    <w:rsid w:val="00123FD5"/>
    <w:rsid w:val="00124ACE"/>
    <w:rsid w:val="001253C9"/>
    <w:rsid w:val="00125533"/>
    <w:rsid w:val="001256CD"/>
    <w:rsid w:val="00125C08"/>
    <w:rsid w:val="0012628B"/>
    <w:rsid w:val="00126BDD"/>
    <w:rsid w:val="00126D5C"/>
    <w:rsid w:val="001273AD"/>
    <w:rsid w:val="00127409"/>
    <w:rsid w:val="001275A1"/>
    <w:rsid w:val="00127911"/>
    <w:rsid w:val="001300F8"/>
    <w:rsid w:val="001302A0"/>
    <w:rsid w:val="001308FA"/>
    <w:rsid w:val="00130A15"/>
    <w:rsid w:val="00131576"/>
    <w:rsid w:val="00131D65"/>
    <w:rsid w:val="00132488"/>
    <w:rsid w:val="00133289"/>
    <w:rsid w:val="001338E0"/>
    <w:rsid w:val="001343C9"/>
    <w:rsid w:val="00134AAD"/>
    <w:rsid w:val="00134B51"/>
    <w:rsid w:val="001350B8"/>
    <w:rsid w:val="001362DB"/>
    <w:rsid w:val="00137188"/>
    <w:rsid w:val="001372B9"/>
    <w:rsid w:val="001377C8"/>
    <w:rsid w:val="00137A21"/>
    <w:rsid w:val="00137B15"/>
    <w:rsid w:val="001407A2"/>
    <w:rsid w:val="00140893"/>
    <w:rsid w:val="00140999"/>
    <w:rsid w:val="001409F4"/>
    <w:rsid w:val="00140AC2"/>
    <w:rsid w:val="00140ECC"/>
    <w:rsid w:val="00141288"/>
    <w:rsid w:val="00141450"/>
    <w:rsid w:val="00141DCF"/>
    <w:rsid w:val="001422D0"/>
    <w:rsid w:val="00142D5C"/>
    <w:rsid w:val="0014364F"/>
    <w:rsid w:val="00143816"/>
    <w:rsid w:val="0014387F"/>
    <w:rsid w:val="001439B6"/>
    <w:rsid w:val="00143F9F"/>
    <w:rsid w:val="00144539"/>
    <w:rsid w:val="0014551D"/>
    <w:rsid w:val="00145546"/>
    <w:rsid w:val="00145756"/>
    <w:rsid w:val="00145ED5"/>
    <w:rsid w:val="00145F5F"/>
    <w:rsid w:val="00146170"/>
    <w:rsid w:val="00146DE3"/>
    <w:rsid w:val="00146E36"/>
    <w:rsid w:val="00146FB7"/>
    <w:rsid w:val="001471AA"/>
    <w:rsid w:val="001475BA"/>
    <w:rsid w:val="00150C70"/>
    <w:rsid w:val="001513DD"/>
    <w:rsid w:val="001514A0"/>
    <w:rsid w:val="001515E7"/>
    <w:rsid w:val="00151DD7"/>
    <w:rsid w:val="00152136"/>
    <w:rsid w:val="001521F1"/>
    <w:rsid w:val="0015221A"/>
    <w:rsid w:val="00152BBB"/>
    <w:rsid w:val="0015354B"/>
    <w:rsid w:val="00153758"/>
    <w:rsid w:val="00153F3D"/>
    <w:rsid w:val="00155658"/>
    <w:rsid w:val="001561F0"/>
    <w:rsid w:val="0015623F"/>
    <w:rsid w:val="00156498"/>
    <w:rsid w:val="00156A21"/>
    <w:rsid w:val="00156C95"/>
    <w:rsid w:val="00156E7C"/>
    <w:rsid w:val="001579CD"/>
    <w:rsid w:val="00157A35"/>
    <w:rsid w:val="00157C77"/>
    <w:rsid w:val="00160186"/>
    <w:rsid w:val="00160948"/>
    <w:rsid w:val="001617E6"/>
    <w:rsid w:val="00161804"/>
    <w:rsid w:val="00161F19"/>
    <w:rsid w:val="00162700"/>
    <w:rsid w:val="00162974"/>
    <w:rsid w:val="00162A9B"/>
    <w:rsid w:val="00163798"/>
    <w:rsid w:val="00163921"/>
    <w:rsid w:val="001647CB"/>
    <w:rsid w:val="00164F90"/>
    <w:rsid w:val="00165FFE"/>
    <w:rsid w:val="0016600C"/>
    <w:rsid w:val="00166675"/>
    <w:rsid w:val="00166785"/>
    <w:rsid w:val="00166988"/>
    <w:rsid w:val="001678DC"/>
    <w:rsid w:val="00167BC0"/>
    <w:rsid w:val="00170422"/>
    <w:rsid w:val="001705A2"/>
    <w:rsid w:val="00170A13"/>
    <w:rsid w:val="00170D18"/>
    <w:rsid w:val="00171C0D"/>
    <w:rsid w:val="0017220B"/>
    <w:rsid w:val="00172305"/>
    <w:rsid w:val="0017264D"/>
    <w:rsid w:val="001729F7"/>
    <w:rsid w:val="00172A50"/>
    <w:rsid w:val="00172B2A"/>
    <w:rsid w:val="00172BD3"/>
    <w:rsid w:val="00172DB6"/>
    <w:rsid w:val="00172ED5"/>
    <w:rsid w:val="001754EE"/>
    <w:rsid w:val="0017558D"/>
    <w:rsid w:val="00175ED3"/>
    <w:rsid w:val="00176033"/>
    <w:rsid w:val="0017603A"/>
    <w:rsid w:val="00176541"/>
    <w:rsid w:val="001765A7"/>
    <w:rsid w:val="00176E1C"/>
    <w:rsid w:val="00176EA8"/>
    <w:rsid w:val="00177495"/>
    <w:rsid w:val="00177711"/>
    <w:rsid w:val="0017795C"/>
    <w:rsid w:val="00177A98"/>
    <w:rsid w:val="00177B15"/>
    <w:rsid w:val="00177E0B"/>
    <w:rsid w:val="00180004"/>
    <w:rsid w:val="001801D6"/>
    <w:rsid w:val="00180826"/>
    <w:rsid w:val="00180EA7"/>
    <w:rsid w:val="001815E0"/>
    <w:rsid w:val="00182A42"/>
    <w:rsid w:val="00183AE0"/>
    <w:rsid w:val="0018404B"/>
    <w:rsid w:val="00184761"/>
    <w:rsid w:val="00184CEE"/>
    <w:rsid w:val="001852F6"/>
    <w:rsid w:val="00185655"/>
    <w:rsid w:val="00186668"/>
    <w:rsid w:val="00186995"/>
    <w:rsid w:val="0018717C"/>
    <w:rsid w:val="001871EF"/>
    <w:rsid w:val="0018741E"/>
    <w:rsid w:val="001875A8"/>
    <w:rsid w:val="00187F4C"/>
    <w:rsid w:val="00190667"/>
    <w:rsid w:val="001907C2"/>
    <w:rsid w:val="0019091D"/>
    <w:rsid w:val="00190AC0"/>
    <w:rsid w:val="00190AE7"/>
    <w:rsid w:val="001916A9"/>
    <w:rsid w:val="00191FE5"/>
    <w:rsid w:val="00192D38"/>
    <w:rsid w:val="00192F22"/>
    <w:rsid w:val="00192FC7"/>
    <w:rsid w:val="0019328B"/>
    <w:rsid w:val="001943BA"/>
    <w:rsid w:val="001952C2"/>
    <w:rsid w:val="001967F2"/>
    <w:rsid w:val="00196E33"/>
    <w:rsid w:val="00197665"/>
    <w:rsid w:val="00197765"/>
    <w:rsid w:val="001977C9"/>
    <w:rsid w:val="001A009E"/>
    <w:rsid w:val="001A050C"/>
    <w:rsid w:val="001A051A"/>
    <w:rsid w:val="001A0B62"/>
    <w:rsid w:val="001A0DE1"/>
    <w:rsid w:val="001A10E1"/>
    <w:rsid w:val="001A147A"/>
    <w:rsid w:val="001A157A"/>
    <w:rsid w:val="001A157C"/>
    <w:rsid w:val="001A15F7"/>
    <w:rsid w:val="001A1A8D"/>
    <w:rsid w:val="001A1AB4"/>
    <w:rsid w:val="001A238D"/>
    <w:rsid w:val="001A2B55"/>
    <w:rsid w:val="001A2CFB"/>
    <w:rsid w:val="001A3174"/>
    <w:rsid w:val="001A455C"/>
    <w:rsid w:val="001A4B12"/>
    <w:rsid w:val="001A4C20"/>
    <w:rsid w:val="001A54DA"/>
    <w:rsid w:val="001A54EB"/>
    <w:rsid w:val="001A5CAC"/>
    <w:rsid w:val="001A5EEF"/>
    <w:rsid w:val="001A6C69"/>
    <w:rsid w:val="001A7C24"/>
    <w:rsid w:val="001A7E62"/>
    <w:rsid w:val="001B0BFC"/>
    <w:rsid w:val="001B0F08"/>
    <w:rsid w:val="001B189E"/>
    <w:rsid w:val="001B1EA0"/>
    <w:rsid w:val="001B20FE"/>
    <w:rsid w:val="001B26DC"/>
    <w:rsid w:val="001B2C56"/>
    <w:rsid w:val="001B3041"/>
    <w:rsid w:val="001B359A"/>
    <w:rsid w:val="001B35F7"/>
    <w:rsid w:val="001B39EF"/>
    <w:rsid w:val="001B3A61"/>
    <w:rsid w:val="001B3EA9"/>
    <w:rsid w:val="001B44C8"/>
    <w:rsid w:val="001B50D5"/>
    <w:rsid w:val="001B57E5"/>
    <w:rsid w:val="001B5AAC"/>
    <w:rsid w:val="001B5FB5"/>
    <w:rsid w:val="001B646F"/>
    <w:rsid w:val="001B71B7"/>
    <w:rsid w:val="001B747B"/>
    <w:rsid w:val="001B799F"/>
    <w:rsid w:val="001C024C"/>
    <w:rsid w:val="001C0C9A"/>
    <w:rsid w:val="001C16F0"/>
    <w:rsid w:val="001C172F"/>
    <w:rsid w:val="001C17D2"/>
    <w:rsid w:val="001C1860"/>
    <w:rsid w:val="001C1FD2"/>
    <w:rsid w:val="001C28A7"/>
    <w:rsid w:val="001C28F3"/>
    <w:rsid w:val="001C2906"/>
    <w:rsid w:val="001C2B48"/>
    <w:rsid w:val="001C2CEF"/>
    <w:rsid w:val="001C30B4"/>
    <w:rsid w:val="001C372B"/>
    <w:rsid w:val="001C3866"/>
    <w:rsid w:val="001C3E8B"/>
    <w:rsid w:val="001C5F76"/>
    <w:rsid w:val="001C6EF6"/>
    <w:rsid w:val="001C7471"/>
    <w:rsid w:val="001C7A82"/>
    <w:rsid w:val="001D034E"/>
    <w:rsid w:val="001D0362"/>
    <w:rsid w:val="001D0910"/>
    <w:rsid w:val="001D0FD7"/>
    <w:rsid w:val="001D150B"/>
    <w:rsid w:val="001D1829"/>
    <w:rsid w:val="001D1BC7"/>
    <w:rsid w:val="001D2662"/>
    <w:rsid w:val="001D3ABD"/>
    <w:rsid w:val="001D3E1C"/>
    <w:rsid w:val="001D4178"/>
    <w:rsid w:val="001D594D"/>
    <w:rsid w:val="001D5AF7"/>
    <w:rsid w:val="001D610C"/>
    <w:rsid w:val="001D655D"/>
    <w:rsid w:val="001D66B2"/>
    <w:rsid w:val="001D7067"/>
    <w:rsid w:val="001D7095"/>
    <w:rsid w:val="001D728D"/>
    <w:rsid w:val="001D729D"/>
    <w:rsid w:val="001D7452"/>
    <w:rsid w:val="001D796D"/>
    <w:rsid w:val="001D7C1D"/>
    <w:rsid w:val="001D7FAB"/>
    <w:rsid w:val="001E04F1"/>
    <w:rsid w:val="001E071D"/>
    <w:rsid w:val="001E0788"/>
    <w:rsid w:val="001E0CDE"/>
    <w:rsid w:val="001E0F34"/>
    <w:rsid w:val="001E0F52"/>
    <w:rsid w:val="001E12A2"/>
    <w:rsid w:val="001E189B"/>
    <w:rsid w:val="001E1A36"/>
    <w:rsid w:val="001E2272"/>
    <w:rsid w:val="001E242C"/>
    <w:rsid w:val="001E2659"/>
    <w:rsid w:val="001E29B4"/>
    <w:rsid w:val="001E43A3"/>
    <w:rsid w:val="001E55E9"/>
    <w:rsid w:val="001E5F13"/>
    <w:rsid w:val="001E5F54"/>
    <w:rsid w:val="001E61BF"/>
    <w:rsid w:val="001E62AA"/>
    <w:rsid w:val="001E65B2"/>
    <w:rsid w:val="001E6840"/>
    <w:rsid w:val="001E6B17"/>
    <w:rsid w:val="001E6ECA"/>
    <w:rsid w:val="001E73FD"/>
    <w:rsid w:val="001E7B92"/>
    <w:rsid w:val="001F0045"/>
    <w:rsid w:val="001F058C"/>
    <w:rsid w:val="001F0620"/>
    <w:rsid w:val="001F0F91"/>
    <w:rsid w:val="001F19FB"/>
    <w:rsid w:val="001F1C99"/>
    <w:rsid w:val="001F2511"/>
    <w:rsid w:val="001F257D"/>
    <w:rsid w:val="001F27C2"/>
    <w:rsid w:val="001F2E5A"/>
    <w:rsid w:val="001F357F"/>
    <w:rsid w:val="001F396D"/>
    <w:rsid w:val="001F3B1D"/>
    <w:rsid w:val="001F3EE3"/>
    <w:rsid w:val="001F4B0B"/>
    <w:rsid w:val="001F4C2F"/>
    <w:rsid w:val="001F52D7"/>
    <w:rsid w:val="001F5443"/>
    <w:rsid w:val="001F6437"/>
    <w:rsid w:val="001F6583"/>
    <w:rsid w:val="001F6DDE"/>
    <w:rsid w:val="001F6FF0"/>
    <w:rsid w:val="001F7868"/>
    <w:rsid w:val="001F798B"/>
    <w:rsid w:val="0020087B"/>
    <w:rsid w:val="0020099B"/>
    <w:rsid w:val="00201118"/>
    <w:rsid w:val="00201C1B"/>
    <w:rsid w:val="00202B6A"/>
    <w:rsid w:val="00203DA1"/>
    <w:rsid w:val="00203F8C"/>
    <w:rsid w:val="002042EB"/>
    <w:rsid w:val="00204869"/>
    <w:rsid w:val="00204BDA"/>
    <w:rsid w:val="00205F3D"/>
    <w:rsid w:val="002066DC"/>
    <w:rsid w:val="00206B8F"/>
    <w:rsid w:val="0020761C"/>
    <w:rsid w:val="00210562"/>
    <w:rsid w:val="00210897"/>
    <w:rsid w:val="00210C51"/>
    <w:rsid w:val="0021197E"/>
    <w:rsid w:val="0021198D"/>
    <w:rsid w:val="00211A2D"/>
    <w:rsid w:val="00211B4B"/>
    <w:rsid w:val="0021268A"/>
    <w:rsid w:val="00212CCF"/>
    <w:rsid w:val="00213FFD"/>
    <w:rsid w:val="00214011"/>
    <w:rsid w:val="002142F8"/>
    <w:rsid w:val="00214934"/>
    <w:rsid w:val="00214967"/>
    <w:rsid w:val="00214A78"/>
    <w:rsid w:val="002152A9"/>
    <w:rsid w:val="002152D5"/>
    <w:rsid w:val="00215470"/>
    <w:rsid w:val="00215CF9"/>
    <w:rsid w:val="00216129"/>
    <w:rsid w:val="00216491"/>
    <w:rsid w:val="00216DEF"/>
    <w:rsid w:val="00216E5D"/>
    <w:rsid w:val="00217229"/>
    <w:rsid w:val="00217A2B"/>
    <w:rsid w:val="00220289"/>
    <w:rsid w:val="00220676"/>
    <w:rsid w:val="00220914"/>
    <w:rsid w:val="00220C57"/>
    <w:rsid w:val="00221124"/>
    <w:rsid w:val="00221476"/>
    <w:rsid w:val="00221972"/>
    <w:rsid w:val="00221997"/>
    <w:rsid w:val="00222053"/>
    <w:rsid w:val="00222176"/>
    <w:rsid w:val="00222A74"/>
    <w:rsid w:val="00223D8E"/>
    <w:rsid w:val="002247A3"/>
    <w:rsid w:val="002248EE"/>
    <w:rsid w:val="00224CBE"/>
    <w:rsid w:val="00224EBF"/>
    <w:rsid w:val="002256DF"/>
    <w:rsid w:val="00225BA4"/>
    <w:rsid w:val="00225E7E"/>
    <w:rsid w:val="00225F3B"/>
    <w:rsid w:val="002264A6"/>
    <w:rsid w:val="002266B7"/>
    <w:rsid w:val="00226969"/>
    <w:rsid w:val="00227001"/>
    <w:rsid w:val="00227129"/>
    <w:rsid w:val="00227DB0"/>
    <w:rsid w:val="0023084D"/>
    <w:rsid w:val="00231969"/>
    <w:rsid w:val="002329EF"/>
    <w:rsid w:val="002329F6"/>
    <w:rsid w:val="00232CDF"/>
    <w:rsid w:val="00232D96"/>
    <w:rsid w:val="002333E2"/>
    <w:rsid w:val="00233433"/>
    <w:rsid w:val="00233B7B"/>
    <w:rsid w:val="00233B8E"/>
    <w:rsid w:val="0023416E"/>
    <w:rsid w:val="002341FB"/>
    <w:rsid w:val="00234321"/>
    <w:rsid w:val="002346CF"/>
    <w:rsid w:val="0023495B"/>
    <w:rsid w:val="00234D90"/>
    <w:rsid w:val="00234F13"/>
    <w:rsid w:val="00235A94"/>
    <w:rsid w:val="00235A95"/>
    <w:rsid w:val="00235B8B"/>
    <w:rsid w:val="00235BCF"/>
    <w:rsid w:val="00236A4A"/>
    <w:rsid w:val="00237383"/>
    <w:rsid w:val="00237759"/>
    <w:rsid w:val="00237EA0"/>
    <w:rsid w:val="0024087E"/>
    <w:rsid w:val="002408AF"/>
    <w:rsid w:val="00240F40"/>
    <w:rsid w:val="002411A9"/>
    <w:rsid w:val="00241321"/>
    <w:rsid w:val="002413D2"/>
    <w:rsid w:val="00241588"/>
    <w:rsid w:val="002428B1"/>
    <w:rsid w:val="00242A6A"/>
    <w:rsid w:val="00242F68"/>
    <w:rsid w:val="00243655"/>
    <w:rsid w:val="00243CCC"/>
    <w:rsid w:val="00243E81"/>
    <w:rsid w:val="00244985"/>
    <w:rsid w:val="00245217"/>
    <w:rsid w:val="00245479"/>
    <w:rsid w:val="00246171"/>
    <w:rsid w:val="00246790"/>
    <w:rsid w:val="00246997"/>
    <w:rsid w:val="0024708A"/>
    <w:rsid w:val="0025030F"/>
    <w:rsid w:val="002503EB"/>
    <w:rsid w:val="0025048E"/>
    <w:rsid w:val="002505C9"/>
    <w:rsid w:val="002509B9"/>
    <w:rsid w:val="00250DA8"/>
    <w:rsid w:val="00251053"/>
    <w:rsid w:val="00251524"/>
    <w:rsid w:val="00251870"/>
    <w:rsid w:val="00251C49"/>
    <w:rsid w:val="00251DB9"/>
    <w:rsid w:val="00252B75"/>
    <w:rsid w:val="00253010"/>
    <w:rsid w:val="00253551"/>
    <w:rsid w:val="00253907"/>
    <w:rsid w:val="00253C65"/>
    <w:rsid w:val="00253E1A"/>
    <w:rsid w:val="0025420C"/>
    <w:rsid w:val="002545C5"/>
    <w:rsid w:val="002546D3"/>
    <w:rsid w:val="00254814"/>
    <w:rsid w:val="00254927"/>
    <w:rsid w:val="002549A0"/>
    <w:rsid w:val="00255455"/>
    <w:rsid w:val="00255E76"/>
    <w:rsid w:val="00257126"/>
    <w:rsid w:val="002576CA"/>
    <w:rsid w:val="00257C77"/>
    <w:rsid w:val="00257FF0"/>
    <w:rsid w:val="002609C6"/>
    <w:rsid w:val="00261574"/>
    <w:rsid w:val="00261D8D"/>
    <w:rsid w:val="00261ED0"/>
    <w:rsid w:val="00261F77"/>
    <w:rsid w:val="00262A56"/>
    <w:rsid w:val="00262E83"/>
    <w:rsid w:val="002633AB"/>
    <w:rsid w:val="0026341B"/>
    <w:rsid w:val="00263905"/>
    <w:rsid w:val="00263B88"/>
    <w:rsid w:val="0026432E"/>
    <w:rsid w:val="00264C3A"/>
    <w:rsid w:val="00264CE5"/>
    <w:rsid w:val="00264D8B"/>
    <w:rsid w:val="002650FD"/>
    <w:rsid w:val="00265544"/>
    <w:rsid w:val="002663B9"/>
    <w:rsid w:val="00266C9A"/>
    <w:rsid w:val="0026746F"/>
    <w:rsid w:val="00267635"/>
    <w:rsid w:val="00267898"/>
    <w:rsid w:val="002706F8"/>
    <w:rsid w:val="002707B1"/>
    <w:rsid w:val="00270A5B"/>
    <w:rsid w:val="00270D4C"/>
    <w:rsid w:val="00270DE7"/>
    <w:rsid w:val="002715C2"/>
    <w:rsid w:val="00271761"/>
    <w:rsid w:val="0027206D"/>
    <w:rsid w:val="0027217A"/>
    <w:rsid w:val="00273024"/>
    <w:rsid w:val="0027354E"/>
    <w:rsid w:val="002738B7"/>
    <w:rsid w:val="002750C2"/>
    <w:rsid w:val="002758A9"/>
    <w:rsid w:val="00275AEA"/>
    <w:rsid w:val="00275C1D"/>
    <w:rsid w:val="00275E1C"/>
    <w:rsid w:val="00275E3F"/>
    <w:rsid w:val="00275EB4"/>
    <w:rsid w:val="002766AB"/>
    <w:rsid w:val="00277E43"/>
    <w:rsid w:val="002803B0"/>
    <w:rsid w:val="00280A8E"/>
    <w:rsid w:val="002810F7"/>
    <w:rsid w:val="002813CD"/>
    <w:rsid w:val="0028147A"/>
    <w:rsid w:val="002814AA"/>
    <w:rsid w:val="002814E6"/>
    <w:rsid w:val="00281572"/>
    <w:rsid w:val="0028235A"/>
    <w:rsid w:val="002832EC"/>
    <w:rsid w:val="0028332B"/>
    <w:rsid w:val="0028337F"/>
    <w:rsid w:val="00283AFB"/>
    <w:rsid w:val="002842FB"/>
    <w:rsid w:val="00284812"/>
    <w:rsid w:val="00284B25"/>
    <w:rsid w:val="00285185"/>
    <w:rsid w:val="00285FB6"/>
    <w:rsid w:val="002863AE"/>
    <w:rsid w:val="0028670B"/>
    <w:rsid w:val="00286DEB"/>
    <w:rsid w:val="002879A9"/>
    <w:rsid w:val="0029063B"/>
    <w:rsid w:val="00290941"/>
    <w:rsid w:val="00290E8E"/>
    <w:rsid w:val="0029102C"/>
    <w:rsid w:val="00291125"/>
    <w:rsid w:val="0029117B"/>
    <w:rsid w:val="00291399"/>
    <w:rsid w:val="00291435"/>
    <w:rsid w:val="00291A86"/>
    <w:rsid w:val="00291C51"/>
    <w:rsid w:val="00291EAF"/>
    <w:rsid w:val="002922CA"/>
    <w:rsid w:val="00292B80"/>
    <w:rsid w:val="0029492B"/>
    <w:rsid w:val="00294D9C"/>
    <w:rsid w:val="00295057"/>
    <w:rsid w:val="002957F9"/>
    <w:rsid w:val="00296229"/>
    <w:rsid w:val="002963DD"/>
    <w:rsid w:val="00296958"/>
    <w:rsid w:val="0029725F"/>
    <w:rsid w:val="0029731C"/>
    <w:rsid w:val="002973C4"/>
    <w:rsid w:val="00297578"/>
    <w:rsid w:val="00297B3E"/>
    <w:rsid w:val="00297D31"/>
    <w:rsid w:val="002A0925"/>
    <w:rsid w:val="002A0984"/>
    <w:rsid w:val="002A0BF8"/>
    <w:rsid w:val="002A0E05"/>
    <w:rsid w:val="002A0E2C"/>
    <w:rsid w:val="002A1FD3"/>
    <w:rsid w:val="002A20AC"/>
    <w:rsid w:val="002A3044"/>
    <w:rsid w:val="002A3559"/>
    <w:rsid w:val="002A37CC"/>
    <w:rsid w:val="002A3A04"/>
    <w:rsid w:val="002A4A5C"/>
    <w:rsid w:val="002A52CE"/>
    <w:rsid w:val="002A5BAB"/>
    <w:rsid w:val="002A654D"/>
    <w:rsid w:val="002A6597"/>
    <w:rsid w:val="002A69D5"/>
    <w:rsid w:val="002A74E6"/>
    <w:rsid w:val="002A7D18"/>
    <w:rsid w:val="002A7DB3"/>
    <w:rsid w:val="002B02AF"/>
    <w:rsid w:val="002B04B2"/>
    <w:rsid w:val="002B0622"/>
    <w:rsid w:val="002B0B55"/>
    <w:rsid w:val="002B13F6"/>
    <w:rsid w:val="002B1F47"/>
    <w:rsid w:val="002B206B"/>
    <w:rsid w:val="002B321A"/>
    <w:rsid w:val="002B4FE1"/>
    <w:rsid w:val="002B5200"/>
    <w:rsid w:val="002B5385"/>
    <w:rsid w:val="002B5EED"/>
    <w:rsid w:val="002B6CA5"/>
    <w:rsid w:val="002B7117"/>
    <w:rsid w:val="002B7525"/>
    <w:rsid w:val="002B7FF3"/>
    <w:rsid w:val="002C0130"/>
    <w:rsid w:val="002C0ADF"/>
    <w:rsid w:val="002C0BC5"/>
    <w:rsid w:val="002C11C0"/>
    <w:rsid w:val="002C1CA0"/>
    <w:rsid w:val="002C1E14"/>
    <w:rsid w:val="002C241C"/>
    <w:rsid w:val="002C34A4"/>
    <w:rsid w:val="002C38C8"/>
    <w:rsid w:val="002C41C7"/>
    <w:rsid w:val="002C45F0"/>
    <w:rsid w:val="002C4A61"/>
    <w:rsid w:val="002C4C44"/>
    <w:rsid w:val="002C5C56"/>
    <w:rsid w:val="002C6631"/>
    <w:rsid w:val="002C6CBF"/>
    <w:rsid w:val="002C70D6"/>
    <w:rsid w:val="002C7B51"/>
    <w:rsid w:val="002C7C84"/>
    <w:rsid w:val="002D05BF"/>
    <w:rsid w:val="002D0FBD"/>
    <w:rsid w:val="002D1CA7"/>
    <w:rsid w:val="002D20CF"/>
    <w:rsid w:val="002D3167"/>
    <w:rsid w:val="002D399C"/>
    <w:rsid w:val="002D3A97"/>
    <w:rsid w:val="002D3AAF"/>
    <w:rsid w:val="002D3F4B"/>
    <w:rsid w:val="002D4CF6"/>
    <w:rsid w:val="002D50A1"/>
    <w:rsid w:val="002D524B"/>
    <w:rsid w:val="002D535C"/>
    <w:rsid w:val="002D5393"/>
    <w:rsid w:val="002D56C3"/>
    <w:rsid w:val="002D642D"/>
    <w:rsid w:val="002D6804"/>
    <w:rsid w:val="002D780D"/>
    <w:rsid w:val="002D7990"/>
    <w:rsid w:val="002D7F4E"/>
    <w:rsid w:val="002E09EA"/>
    <w:rsid w:val="002E0D14"/>
    <w:rsid w:val="002E1177"/>
    <w:rsid w:val="002E1238"/>
    <w:rsid w:val="002E15E0"/>
    <w:rsid w:val="002E2AA3"/>
    <w:rsid w:val="002E3902"/>
    <w:rsid w:val="002E3AB8"/>
    <w:rsid w:val="002E3B1B"/>
    <w:rsid w:val="002E4A44"/>
    <w:rsid w:val="002E4F0E"/>
    <w:rsid w:val="002E52D8"/>
    <w:rsid w:val="002E5FD7"/>
    <w:rsid w:val="002E685B"/>
    <w:rsid w:val="002E6E50"/>
    <w:rsid w:val="002E6FE3"/>
    <w:rsid w:val="002E6FFD"/>
    <w:rsid w:val="002E70EF"/>
    <w:rsid w:val="002E7287"/>
    <w:rsid w:val="002E7533"/>
    <w:rsid w:val="002E7ACB"/>
    <w:rsid w:val="002E7C00"/>
    <w:rsid w:val="002F041F"/>
    <w:rsid w:val="002F081C"/>
    <w:rsid w:val="002F0EF9"/>
    <w:rsid w:val="002F1BE9"/>
    <w:rsid w:val="002F1D92"/>
    <w:rsid w:val="002F1FF5"/>
    <w:rsid w:val="002F20BB"/>
    <w:rsid w:val="002F2210"/>
    <w:rsid w:val="002F2942"/>
    <w:rsid w:val="002F486B"/>
    <w:rsid w:val="002F4D0E"/>
    <w:rsid w:val="002F58BC"/>
    <w:rsid w:val="002F58F5"/>
    <w:rsid w:val="002F6E8A"/>
    <w:rsid w:val="002F7631"/>
    <w:rsid w:val="002F7E9D"/>
    <w:rsid w:val="00300693"/>
    <w:rsid w:val="00300E26"/>
    <w:rsid w:val="00301FF4"/>
    <w:rsid w:val="00302B34"/>
    <w:rsid w:val="00302D4B"/>
    <w:rsid w:val="003036FC"/>
    <w:rsid w:val="00304308"/>
    <w:rsid w:val="0030493B"/>
    <w:rsid w:val="00304C98"/>
    <w:rsid w:val="00305329"/>
    <w:rsid w:val="003056BB"/>
    <w:rsid w:val="00305908"/>
    <w:rsid w:val="0030659C"/>
    <w:rsid w:val="003071BF"/>
    <w:rsid w:val="003075ED"/>
    <w:rsid w:val="0030772F"/>
    <w:rsid w:val="00307AE9"/>
    <w:rsid w:val="00307D61"/>
    <w:rsid w:val="00310165"/>
    <w:rsid w:val="00310D32"/>
    <w:rsid w:val="00311139"/>
    <w:rsid w:val="00311938"/>
    <w:rsid w:val="00311AB1"/>
    <w:rsid w:val="00311F9A"/>
    <w:rsid w:val="00312D4E"/>
    <w:rsid w:val="00313364"/>
    <w:rsid w:val="003136AC"/>
    <w:rsid w:val="00313A9D"/>
    <w:rsid w:val="00313CC8"/>
    <w:rsid w:val="00313E19"/>
    <w:rsid w:val="003143F3"/>
    <w:rsid w:val="003149F8"/>
    <w:rsid w:val="00314D30"/>
    <w:rsid w:val="003151E9"/>
    <w:rsid w:val="0031560D"/>
    <w:rsid w:val="00315AB3"/>
    <w:rsid w:val="003167AE"/>
    <w:rsid w:val="00316975"/>
    <w:rsid w:val="00316C77"/>
    <w:rsid w:val="003171F5"/>
    <w:rsid w:val="00317B7C"/>
    <w:rsid w:val="00317F0C"/>
    <w:rsid w:val="00320275"/>
    <w:rsid w:val="00320DA0"/>
    <w:rsid w:val="00320F2E"/>
    <w:rsid w:val="003213CF"/>
    <w:rsid w:val="00321B66"/>
    <w:rsid w:val="00321F97"/>
    <w:rsid w:val="00322554"/>
    <w:rsid w:val="00323044"/>
    <w:rsid w:val="0032436F"/>
    <w:rsid w:val="00324801"/>
    <w:rsid w:val="00324E2B"/>
    <w:rsid w:val="00325569"/>
    <w:rsid w:val="00325837"/>
    <w:rsid w:val="0032619E"/>
    <w:rsid w:val="003266AA"/>
    <w:rsid w:val="00326899"/>
    <w:rsid w:val="00326E5B"/>
    <w:rsid w:val="00326F57"/>
    <w:rsid w:val="0032704E"/>
    <w:rsid w:val="00327A9E"/>
    <w:rsid w:val="00327D7A"/>
    <w:rsid w:val="00327E23"/>
    <w:rsid w:val="00330234"/>
    <w:rsid w:val="00330B6F"/>
    <w:rsid w:val="00330CDE"/>
    <w:rsid w:val="00330F4E"/>
    <w:rsid w:val="00330F52"/>
    <w:rsid w:val="00330FAB"/>
    <w:rsid w:val="00331521"/>
    <w:rsid w:val="00331552"/>
    <w:rsid w:val="0033160C"/>
    <w:rsid w:val="00332516"/>
    <w:rsid w:val="00332787"/>
    <w:rsid w:val="003329F9"/>
    <w:rsid w:val="00333788"/>
    <w:rsid w:val="003342E1"/>
    <w:rsid w:val="00334442"/>
    <w:rsid w:val="003346E4"/>
    <w:rsid w:val="00334825"/>
    <w:rsid w:val="00334BFD"/>
    <w:rsid w:val="00334E4D"/>
    <w:rsid w:val="003350FB"/>
    <w:rsid w:val="00335411"/>
    <w:rsid w:val="003364CB"/>
    <w:rsid w:val="00336B7E"/>
    <w:rsid w:val="00340206"/>
    <w:rsid w:val="003406B0"/>
    <w:rsid w:val="00340E9E"/>
    <w:rsid w:val="00340FCC"/>
    <w:rsid w:val="00341183"/>
    <w:rsid w:val="00343196"/>
    <w:rsid w:val="003434CC"/>
    <w:rsid w:val="003445D1"/>
    <w:rsid w:val="00344D49"/>
    <w:rsid w:val="0034532D"/>
    <w:rsid w:val="00345341"/>
    <w:rsid w:val="00345C8E"/>
    <w:rsid w:val="00346925"/>
    <w:rsid w:val="00346C66"/>
    <w:rsid w:val="00346D16"/>
    <w:rsid w:val="00347121"/>
    <w:rsid w:val="00347A39"/>
    <w:rsid w:val="00350679"/>
    <w:rsid w:val="00350A13"/>
    <w:rsid w:val="00350A3F"/>
    <w:rsid w:val="00350E21"/>
    <w:rsid w:val="00350FD9"/>
    <w:rsid w:val="00351089"/>
    <w:rsid w:val="003512FF"/>
    <w:rsid w:val="003518E0"/>
    <w:rsid w:val="003523C9"/>
    <w:rsid w:val="00353295"/>
    <w:rsid w:val="00353AE2"/>
    <w:rsid w:val="00353F12"/>
    <w:rsid w:val="00354037"/>
    <w:rsid w:val="003540E8"/>
    <w:rsid w:val="003541D0"/>
    <w:rsid w:val="00354C90"/>
    <w:rsid w:val="00355073"/>
    <w:rsid w:val="00355C5A"/>
    <w:rsid w:val="00356ED3"/>
    <w:rsid w:val="00357234"/>
    <w:rsid w:val="00357DD2"/>
    <w:rsid w:val="00360364"/>
    <w:rsid w:val="003605E5"/>
    <w:rsid w:val="00360B74"/>
    <w:rsid w:val="0036193E"/>
    <w:rsid w:val="0036199C"/>
    <w:rsid w:val="00361C24"/>
    <w:rsid w:val="00362121"/>
    <w:rsid w:val="0036277A"/>
    <w:rsid w:val="003628C3"/>
    <w:rsid w:val="00362DBB"/>
    <w:rsid w:val="00363799"/>
    <w:rsid w:val="003639C9"/>
    <w:rsid w:val="00363C58"/>
    <w:rsid w:val="00363FAC"/>
    <w:rsid w:val="0036474D"/>
    <w:rsid w:val="00364A22"/>
    <w:rsid w:val="003659A1"/>
    <w:rsid w:val="00365B2F"/>
    <w:rsid w:val="00365C39"/>
    <w:rsid w:val="00365C9B"/>
    <w:rsid w:val="00365F36"/>
    <w:rsid w:val="00366207"/>
    <w:rsid w:val="00366848"/>
    <w:rsid w:val="00366859"/>
    <w:rsid w:val="00366BDD"/>
    <w:rsid w:val="00366DB9"/>
    <w:rsid w:val="003671CA"/>
    <w:rsid w:val="00367639"/>
    <w:rsid w:val="00367669"/>
    <w:rsid w:val="00367741"/>
    <w:rsid w:val="00367DCD"/>
    <w:rsid w:val="0037013B"/>
    <w:rsid w:val="003716DD"/>
    <w:rsid w:val="003719A0"/>
    <w:rsid w:val="00371A60"/>
    <w:rsid w:val="0037286F"/>
    <w:rsid w:val="00372ACC"/>
    <w:rsid w:val="00373A8E"/>
    <w:rsid w:val="00373E93"/>
    <w:rsid w:val="00374690"/>
    <w:rsid w:val="00374B04"/>
    <w:rsid w:val="00374B60"/>
    <w:rsid w:val="00375728"/>
    <w:rsid w:val="00375FF0"/>
    <w:rsid w:val="00376DA6"/>
    <w:rsid w:val="00376FB6"/>
    <w:rsid w:val="0037702C"/>
    <w:rsid w:val="00377D84"/>
    <w:rsid w:val="00377E3C"/>
    <w:rsid w:val="003800DC"/>
    <w:rsid w:val="003804B5"/>
    <w:rsid w:val="003810B2"/>
    <w:rsid w:val="00381A4C"/>
    <w:rsid w:val="003822EB"/>
    <w:rsid w:val="00382618"/>
    <w:rsid w:val="003828E5"/>
    <w:rsid w:val="00382B3A"/>
    <w:rsid w:val="00382C1D"/>
    <w:rsid w:val="00383119"/>
    <w:rsid w:val="0038470E"/>
    <w:rsid w:val="0038484B"/>
    <w:rsid w:val="003865E3"/>
    <w:rsid w:val="003866F8"/>
    <w:rsid w:val="00386957"/>
    <w:rsid w:val="003871E2"/>
    <w:rsid w:val="00387867"/>
    <w:rsid w:val="003905BF"/>
    <w:rsid w:val="00390703"/>
    <w:rsid w:val="00390E3C"/>
    <w:rsid w:val="003912BE"/>
    <w:rsid w:val="003912FB"/>
    <w:rsid w:val="0039234D"/>
    <w:rsid w:val="00393390"/>
    <w:rsid w:val="0039368A"/>
    <w:rsid w:val="003938C4"/>
    <w:rsid w:val="00393DDE"/>
    <w:rsid w:val="0039418B"/>
    <w:rsid w:val="00394297"/>
    <w:rsid w:val="0039529A"/>
    <w:rsid w:val="003952AC"/>
    <w:rsid w:val="003958DA"/>
    <w:rsid w:val="00395A21"/>
    <w:rsid w:val="00395BD7"/>
    <w:rsid w:val="00396023"/>
    <w:rsid w:val="003962D6"/>
    <w:rsid w:val="00396A55"/>
    <w:rsid w:val="00396C91"/>
    <w:rsid w:val="00396D48"/>
    <w:rsid w:val="00397328"/>
    <w:rsid w:val="003978DD"/>
    <w:rsid w:val="003978FD"/>
    <w:rsid w:val="00397A03"/>
    <w:rsid w:val="00397E65"/>
    <w:rsid w:val="003A0F02"/>
    <w:rsid w:val="003A1C7B"/>
    <w:rsid w:val="003A27CF"/>
    <w:rsid w:val="003A2A0C"/>
    <w:rsid w:val="003A3190"/>
    <w:rsid w:val="003A33D9"/>
    <w:rsid w:val="003A34E9"/>
    <w:rsid w:val="003A4189"/>
    <w:rsid w:val="003A5122"/>
    <w:rsid w:val="003A5B8F"/>
    <w:rsid w:val="003A5BB7"/>
    <w:rsid w:val="003A5CC1"/>
    <w:rsid w:val="003A6710"/>
    <w:rsid w:val="003A6851"/>
    <w:rsid w:val="003A6B9B"/>
    <w:rsid w:val="003A6D81"/>
    <w:rsid w:val="003A72BE"/>
    <w:rsid w:val="003B043F"/>
    <w:rsid w:val="003B0FAA"/>
    <w:rsid w:val="003B106A"/>
    <w:rsid w:val="003B2A60"/>
    <w:rsid w:val="003B2D73"/>
    <w:rsid w:val="003B2DA6"/>
    <w:rsid w:val="003B2F3F"/>
    <w:rsid w:val="003B3512"/>
    <w:rsid w:val="003B3A6B"/>
    <w:rsid w:val="003B3CA8"/>
    <w:rsid w:val="003B4868"/>
    <w:rsid w:val="003B5018"/>
    <w:rsid w:val="003B5351"/>
    <w:rsid w:val="003B53DA"/>
    <w:rsid w:val="003B5B1C"/>
    <w:rsid w:val="003B5B64"/>
    <w:rsid w:val="003B5D2A"/>
    <w:rsid w:val="003B6015"/>
    <w:rsid w:val="003B6597"/>
    <w:rsid w:val="003B6B47"/>
    <w:rsid w:val="003B6BCB"/>
    <w:rsid w:val="003B7946"/>
    <w:rsid w:val="003C05BF"/>
    <w:rsid w:val="003C06E9"/>
    <w:rsid w:val="003C08BB"/>
    <w:rsid w:val="003C0A3B"/>
    <w:rsid w:val="003C1496"/>
    <w:rsid w:val="003C14F3"/>
    <w:rsid w:val="003C1AD2"/>
    <w:rsid w:val="003C1F25"/>
    <w:rsid w:val="003C2475"/>
    <w:rsid w:val="003C2E6B"/>
    <w:rsid w:val="003C31FC"/>
    <w:rsid w:val="003C3C03"/>
    <w:rsid w:val="003C4C10"/>
    <w:rsid w:val="003C4C5C"/>
    <w:rsid w:val="003C4FB3"/>
    <w:rsid w:val="003C5777"/>
    <w:rsid w:val="003C5C9B"/>
    <w:rsid w:val="003C6438"/>
    <w:rsid w:val="003C657C"/>
    <w:rsid w:val="003C7596"/>
    <w:rsid w:val="003C76E5"/>
    <w:rsid w:val="003D0047"/>
    <w:rsid w:val="003D0402"/>
    <w:rsid w:val="003D07C0"/>
    <w:rsid w:val="003D0B9F"/>
    <w:rsid w:val="003D0E00"/>
    <w:rsid w:val="003D10DB"/>
    <w:rsid w:val="003D123B"/>
    <w:rsid w:val="003D12EA"/>
    <w:rsid w:val="003D18F3"/>
    <w:rsid w:val="003D1D32"/>
    <w:rsid w:val="003D272B"/>
    <w:rsid w:val="003D2D5E"/>
    <w:rsid w:val="003D2D79"/>
    <w:rsid w:val="003D3DA8"/>
    <w:rsid w:val="003D3DE2"/>
    <w:rsid w:val="003D3FFB"/>
    <w:rsid w:val="003D41D2"/>
    <w:rsid w:val="003D4F7C"/>
    <w:rsid w:val="003D5323"/>
    <w:rsid w:val="003D53C4"/>
    <w:rsid w:val="003D5791"/>
    <w:rsid w:val="003D5889"/>
    <w:rsid w:val="003D5B8B"/>
    <w:rsid w:val="003D5CCF"/>
    <w:rsid w:val="003D67D8"/>
    <w:rsid w:val="003D6E4D"/>
    <w:rsid w:val="003D7180"/>
    <w:rsid w:val="003E09C6"/>
    <w:rsid w:val="003E161A"/>
    <w:rsid w:val="003E215E"/>
    <w:rsid w:val="003E2BA1"/>
    <w:rsid w:val="003E3233"/>
    <w:rsid w:val="003E4802"/>
    <w:rsid w:val="003E4927"/>
    <w:rsid w:val="003E4A32"/>
    <w:rsid w:val="003E4A82"/>
    <w:rsid w:val="003E4FE6"/>
    <w:rsid w:val="003E54FB"/>
    <w:rsid w:val="003E5744"/>
    <w:rsid w:val="003E5A23"/>
    <w:rsid w:val="003E5C87"/>
    <w:rsid w:val="003E5EAE"/>
    <w:rsid w:val="003E63E3"/>
    <w:rsid w:val="003E69CA"/>
    <w:rsid w:val="003E6C19"/>
    <w:rsid w:val="003E6C34"/>
    <w:rsid w:val="003E6ED1"/>
    <w:rsid w:val="003E7962"/>
    <w:rsid w:val="003E7BCF"/>
    <w:rsid w:val="003F00B8"/>
    <w:rsid w:val="003F078F"/>
    <w:rsid w:val="003F0856"/>
    <w:rsid w:val="003F0C07"/>
    <w:rsid w:val="003F1465"/>
    <w:rsid w:val="003F1A00"/>
    <w:rsid w:val="003F1D79"/>
    <w:rsid w:val="003F1F76"/>
    <w:rsid w:val="003F24F3"/>
    <w:rsid w:val="003F260C"/>
    <w:rsid w:val="003F27F9"/>
    <w:rsid w:val="003F2E39"/>
    <w:rsid w:val="003F30E8"/>
    <w:rsid w:val="003F42A0"/>
    <w:rsid w:val="003F579C"/>
    <w:rsid w:val="003F6992"/>
    <w:rsid w:val="003F69B1"/>
    <w:rsid w:val="003F6B09"/>
    <w:rsid w:val="003F6CBA"/>
    <w:rsid w:val="003F6D95"/>
    <w:rsid w:val="003F7142"/>
    <w:rsid w:val="003F7EE2"/>
    <w:rsid w:val="004000BC"/>
    <w:rsid w:val="004006BE"/>
    <w:rsid w:val="00400BF7"/>
    <w:rsid w:val="00400D6D"/>
    <w:rsid w:val="0040115C"/>
    <w:rsid w:val="00401275"/>
    <w:rsid w:val="00401A05"/>
    <w:rsid w:val="00401A91"/>
    <w:rsid w:val="00401BB5"/>
    <w:rsid w:val="00402289"/>
    <w:rsid w:val="0040233E"/>
    <w:rsid w:val="004028B7"/>
    <w:rsid w:val="00402BDC"/>
    <w:rsid w:val="00403F93"/>
    <w:rsid w:val="00404AF2"/>
    <w:rsid w:val="00404C9D"/>
    <w:rsid w:val="00404E47"/>
    <w:rsid w:val="004054C0"/>
    <w:rsid w:val="0040556E"/>
    <w:rsid w:val="00405EB6"/>
    <w:rsid w:val="0040629E"/>
    <w:rsid w:val="0040674F"/>
    <w:rsid w:val="00406B5B"/>
    <w:rsid w:val="00407A31"/>
    <w:rsid w:val="00407A70"/>
    <w:rsid w:val="00407ADB"/>
    <w:rsid w:val="00407E24"/>
    <w:rsid w:val="00407F9C"/>
    <w:rsid w:val="00410071"/>
    <w:rsid w:val="00410144"/>
    <w:rsid w:val="00410B18"/>
    <w:rsid w:val="0041104E"/>
    <w:rsid w:val="004113CF"/>
    <w:rsid w:val="0041331C"/>
    <w:rsid w:val="00413B05"/>
    <w:rsid w:val="004145E8"/>
    <w:rsid w:val="0041488B"/>
    <w:rsid w:val="00415728"/>
    <w:rsid w:val="0041587A"/>
    <w:rsid w:val="004158FB"/>
    <w:rsid w:val="004161DB"/>
    <w:rsid w:val="0041684F"/>
    <w:rsid w:val="004169A8"/>
    <w:rsid w:val="00417CB3"/>
    <w:rsid w:val="00417F04"/>
    <w:rsid w:val="00420418"/>
    <w:rsid w:val="0042075B"/>
    <w:rsid w:val="004209E5"/>
    <w:rsid w:val="0042116F"/>
    <w:rsid w:val="0042231D"/>
    <w:rsid w:val="00422C98"/>
    <w:rsid w:val="00423171"/>
    <w:rsid w:val="00424297"/>
    <w:rsid w:val="00424BD1"/>
    <w:rsid w:val="00425320"/>
    <w:rsid w:val="0042542D"/>
    <w:rsid w:val="00425AFC"/>
    <w:rsid w:val="00425C71"/>
    <w:rsid w:val="004261B6"/>
    <w:rsid w:val="00426AA5"/>
    <w:rsid w:val="00426B37"/>
    <w:rsid w:val="00427381"/>
    <w:rsid w:val="00427F89"/>
    <w:rsid w:val="00430416"/>
    <w:rsid w:val="004307CB"/>
    <w:rsid w:val="00430933"/>
    <w:rsid w:val="00430D14"/>
    <w:rsid w:val="00430FAF"/>
    <w:rsid w:val="0043156D"/>
    <w:rsid w:val="004317BC"/>
    <w:rsid w:val="00431B7B"/>
    <w:rsid w:val="00431C6F"/>
    <w:rsid w:val="00432BC9"/>
    <w:rsid w:val="00432CFE"/>
    <w:rsid w:val="00433532"/>
    <w:rsid w:val="00433BB1"/>
    <w:rsid w:val="00433D51"/>
    <w:rsid w:val="0043438E"/>
    <w:rsid w:val="00434463"/>
    <w:rsid w:val="00434936"/>
    <w:rsid w:val="004358BD"/>
    <w:rsid w:val="00436106"/>
    <w:rsid w:val="004366CD"/>
    <w:rsid w:val="004368A9"/>
    <w:rsid w:val="00436C30"/>
    <w:rsid w:val="00437496"/>
    <w:rsid w:val="00437AC7"/>
    <w:rsid w:val="00437AEE"/>
    <w:rsid w:val="00437CA8"/>
    <w:rsid w:val="00437F9C"/>
    <w:rsid w:val="004404CC"/>
    <w:rsid w:val="00440553"/>
    <w:rsid w:val="004406F5"/>
    <w:rsid w:val="004434CF"/>
    <w:rsid w:val="00443F26"/>
    <w:rsid w:val="00443F67"/>
    <w:rsid w:val="004445F6"/>
    <w:rsid w:val="004446F3"/>
    <w:rsid w:val="00444A40"/>
    <w:rsid w:val="004455AF"/>
    <w:rsid w:val="00445BCC"/>
    <w:rsid w:val="00445C33"/>
    <w:rsid w:val="004460B3"/>
    <w:rsid w:val="004466C8"/>
    <w:rsid w:val="004469E5"/>
    <w:rsid w:val="00446AD1"/>
    <w:rsid w:val="00446CDD"/>
    <w:rsid w:val="00446F23"/>
    <w:rsid w:val="00446FFF"/>
    <w:rsid w:val="0044713C"/>
    <w:rsid w:val="0044743A"/>
    <w:rsid w:val="004476B5"/>
    <w:rsid w:val="004477AB"/>
    <w:rsid w:val="0044786A"/>
    <w:rsid w:val="0044797E"/>
    <w:rsid w:val="00447C08"/>
    <w:rsid w:val="00447E00"/>
    <w:rsid w:val="00450984"/>
    <w:rsid w:val="00450CA7"/>
    <w:rsid w:val="00450ECD"/>
    <w:rsid w:val="00451134"/>
    <w:rsid w:val="0045118C"/>
    <w:rsid w:val="004513E4"/>
    <w:rsid w:val="0045330B"/>
    <w:rsid w:val="004538F0"/>
    <w:rsid w:val="00453A6B"/>
    <w:rsid w:val="00453FC9"/>
    <w:rsid w:val="004540C5"/>
    <w:rsid w:val="0045476C"/>
    <w:rsid w:val="00454931"/>
    <w:rsid w:val="004549E3"/>
    <w:rsid w:val="00454E1B"/>
    <w:rsid w:val="00454E5A"/>
    <w:rsid w:val="004559F1"/>
    <w:rsid w:val="0045657C"/>
    <w:rsid w:val="0045684B"/>
    <w:rsid w:val="004569EB"/>
    <w:rsid w:val="00457096"/>
    <w:rsid w:val="00457A8D"/>
    <w:rsid w:val="00460F6D"/>
    <w:rsid w:val="00461995"/>
    <w:rsid w:val="00461EBE"/>
    <w:rsid w:val="00462E22"/>
    <w:rsid w:val="0046358F"/>
    <w:rsid w:val="004635AD"/>
    <w:rsid w:val="00463BC5"/>
    <w:rsid w:val="00463CDE"/>
    <w:rsid w:val="0046442A"/>
    <w:rsid w:val="00464D81"/>
    <w:rsid w:val="00465043"/>
    <w:rsid w:val="00465190"/>
    <w:rsid w:val="0046597F"/>
    <w:rsid w:val="00465A5D"/>
    <w:rsid w:val="0046604B"/>
    <w:rsid w:val="004664FB"/>
    <w:rsid w:val="004666D1"/>
    <w:rsid w:val="00466BB0"/>
    <w:rsid w:val="00466C7E"/>
    <w:rsid w:val="00466DE0"/>
    <w:rsid w:val="004672D9"/>
    <w:rsid w:val="004673A5"/>
    <w:rsid w:val="00470057"/>
    <w:rsid w:val="0047011B"/>
    <w:rsid w:val="00470125"/>
    <w:rsid w:val="004703AC"/>
    <w:rsid w:val="004703D8"/>
    <w:rsid w:val="004717FE"/>
    <w:rsid w:val="00471A03"/>
    <w:rsid w:val="00471D3F"/>
    <w:rsid w:val="004728A6"/>
    <w:rsid w:val="00472E8C"/>
    <w:rsid w:val="00473A57"/>
    <w:rsid w:val="0047410A"/>
    <w:rsid w:val="00474557"/>
    <w:rsid w:val="004745D0"/>
    <w:rsid w:val="0047465E"/>
    <w:rsid w:val="00474DAF"/>
    <w:rsid w:val="00475CF2"/>
    <w:rsid w:val="00475DE2"/>
    <w:rsid w:val="00476ABC"/>
    <w:rsid w:val="00476C98"/>
    <w:rsid w:val="00476F23"/>
    <w:rsid w:val="004771C7"/>
    <w:rsid w:val="004775B0"/>
    <w:rsid w:val="004805AB"/>
    <w:rsid w:val="00480602"/>
    <w:rsid w:val="004807BA"/>
    <w:rsid w:val="004809CA"/>
    <w:rsid w:val="00480DCA"/>
    <w:rsid w:val="00480E1F"/>
    <w:rsid w:val="004810FD"/>
    <w:rsid w:val="00481B50"/>
    <w:rsid w:val="00481CC8"/>
    <w:rsid w:val="004826D7"/>
    <w:rsid w:val="00482809"/>
    <w:rsid w:val="00483AC2"/>
    <w:rsid w:val="00484366"/>
    <w:rsid w:val="00484406"/>
    <w:rsid w:val="00484495"/>
    <w:rsid w:val="0048479B"/>
    <w:rsid w:val="00484846"/>
    <w:rsid w:val="00484891"/>
    <w:rsid w:val="00484BF8"/>
    <w:rsid w:val="00484CE9"/>
    <w:rsid w:val="00485E66"/>
    <w:rsid w:val="004869B7"/>
    <w:rsid w:val="00486F0E"/>
    <w:rsid w:val="00487371"/>
    <w:rsid w:val="0048778B"/>
    <w:rsid w:val="00490492"/>
    <w:rsid w:val="00490536"/>
    <w:rsid w:val="00490B2F"/>
    <w:rsid w:val="00491409"/>
    <w:rsid w:val="00492D12"/>
    <w:rsid w:val="00492F9B"/>
    <w:rsid w:val="004931F1"/>
    <w:rsid w:val="00493A5B"/>
    <w:rsid w:val="00493EAB"/>
    <w:rsid w:val="00494346"/>
    <w:rsid w:val="004943B0"/>
    <w:rsid w:val="004949D5"/>
    <w:rsid w:val="00494B03"/>
    <w:rsid w:val="0049581E"/>
    <w:rsid w:val="0049584F"/>
    <w:rsid w:val="00495C89"/>
    <w:rsid w:val="004960A5"/>
    <w:rsid w:val="00496156"/>
    <w:rsid w:val="00496322"/>
    <w:rsid w:val="00496BE6"/>
    <w:rsid w:val="0049737E"/>
    <w:rsid w:val="004975D2"/>
    <w:rsid w:val="00497B08"/>
    <w:rsid w:val="00497BB4"/>
    <w:rsid w:val="00497BB7"/>
    <w:rsid w:val="00497E0D"/>
    <w:rsid w:val="004A09D4"/>
    <w:rsid w:val="004A0F01"/>
    <w:rsid w:val="004A1B86"/>
    <w:rsid w:val="004A2083"/>
    <w:rsid w:val="004A2CB8"/>
    <w:rsid w:val="004A2D2E"/>
    <w:rsid w:val="004A3A8F"/>
    <w:rsid w:val="004A4079"/>
    <w:rsid w:val="004A4F41"/>
    <w:rsid w:val="004B0087"/>
    <w:rsid w:val="004B05D8"/>
    <w:rsid w:val="004B0A6B"/>
    <w:rsid w:val="004B0BDD"/>
    <w:rsid w:val="004B1204"/>
    <w:rsid w:val="004B1D4C"/>
    <w:rsid w:val="004B1EC2"/>
    <w:rsid w:val="004B308E"/>
    <w:rsid w:val="004B319A"/>
    <w:rsid w:val="004B3C33"/>
    <w:rsid w:val="004B43AF"/>
    <w:rsid w:val="004B43FF"/>
    <w:rsid w:val="004B4E15"/>
    <w:rsid w:val="004B50B2"/>
    <w:rsid w:val="004B5578"/>
    <w:rsid w:val="004B5700"/>
    <w:rsid w:val="004B59BE"/>
    <w:rsid w:val="004B5A5A"/>
    <w:rsid w:val="004B5B99"/>
    <w:rsid w:val="004B6CE6"/>
    <w:rsid w:val="004B6F1C"/>
    <w:rsid w:val="004B7294"/>
    <w:rsid w:val="004B775C"/>
    <w:rsid w:val="004B7AAF"/>
    <w:rsid w:val="004C0CEE"/>
    <w:rsid w:val="004C10C7"/>
    <w:rsid w:val="004C13CA"/>
    <w:rsid w:val="004C19AC"/>
    <w:rsid w:val="004C1B71"/>
    <w:rsid w:val="004C1D27"/>
    <w:rsid w:val="004C2589"/>
    <w:rsid w:val="004C29BC"/>
    <w:rsid w:val="004C2D7D"/>
    <w:rsid w:val="004C2EFA"/>
    <w:rsid w:val="004C3307"/>
    <w:rsid w:val="004C3440"/>
    <w:rsid w:val="004C36A0"/>
    <w:rsid w:val="004C3A27"/>
    <w:rsid w:val="004C40C8"/>
    <w:rsid w:val="004C48E4"/>
    <w:rsid w:val="004C4DE4"/>
    <w:rsid w:val="004C530C"/>
    <w:rsid w:val="004C535F"/>
    <w:rsid w:val="004C562E"/>
    <w:rsid w:val="004C5F12"/>
    <w:rsid w:val="004C61E1"/>
    <w:rsid w:val="004C6722"/>
    <w:rsid w:val="004C6FCF"/>
    <w:rsid w:val="004D01DA"/>
    <w:rsid w:val="004D03E1"/>
    <w:rsid w:val="004D0ADA"/>
    <w:rsid w:val="004D143E"/>
    <w:rsid w:val="004D182B"/>
    <w:rsid w:val="004D3CAE"/>
    <w:rsid w:val="004D3E5E"/>
    <w:rsid w:val="004D3F7A"/>
    <w:rsid w:val="004D44C2"/>
    <w:rsid w:val="004D46CF"/>
    <w:rsid w:val="004D493C"/>
    <w:rsid w:val="004D4BC2"/>
    <w:rsid w:val="004D5160"/>
    <w:rsid w:val="004D58F9"/>
    <w:rsid w:val="004D5909"/>
    <w:rsid w:val="004D6916"/>
    <w:rsid w:val="004D7145"/>
    <w:rsid w:val="004D7595"/>
    <w:rsid w:val="004D7C86"/>
    <w:rsid w:val="004D7E08"/>
    <w:rsid w:val="004D7FD4"/>
    <w:rsid w:val="004E02A2"/>
    <w:rsid w:val="004E030F"/>
    <w:rsid w:val="004E0575"/>
    <w:rsid w:val="004E0856"/>
    <w:rsid w:val="004E0F1D"/>
    <w:rsid w:val="004E152E"/>
    <w:rsid w:val="004E1593"/>
    <w:rsid w:val="004E1E7E"/>
    <w:rsid w:val="004E2AF8"/>
    <w:rsid w:val="004E2DC0"/>
    <w:rsid w:val="004E324E"/>
    <w:rsid w:val="004E3D2A"/>
    <w:rsid w:val="004E4034"/>
    <w:rsid w:val="004E464E"/>
    <w:rsid w:val="004E5270"/>
    <w:rsid w:val="004E5E46"/>
    <w:rsid w:val="004E649B"/>
    <w:rsid w:val="004E69EB"/>
    <w:rsid w:val="004E75E9"/>
    <w:rsid w:val="004E792C"/>
    <w:rsid w:val="004F04BE"/>
    <w:rsid w:val="004F0A11"/>
    <w:rsid w:val="004F0E2A"/>
    <w:rsid w:val="004F0E9E"/>
    <w:rsid w:val="004F0EE6"/>
    <w:rsid w:val="004F10E0"/>
    <w:rsid w:val="004F1FA2"/>
    <w:rsid w:val="004F1FF5"/>
    <w:rsid w:val="004F2180"/>
    <w:rsid w:val="004F2282"/>
    <w:rsid w:val="004F246C"/>
    <w:rsid w:val="004F31E3"/>
    <w:rsid w:val="004F37DD"/>
    <w:rsid w:val="004F3AF2"/>
    <w:rsid w:val="004F3C15"/>
    <w:rsid w:val="004F3E5C"/>
    <w:rsid w:val="004F42AF"/>
    <w:rsid w:val="004F4C53"/>
    <w:rsid w:val="004F522E"/>
    <w:rsid w:val="004F5C30"/>
    <w:rsid w:val="004F61CB"/>
    <w:rsid w:val="004F6BEA"/>
    <w:rsid w:val="004F795C"/>
    <w:rsid w:val="004F7B55"/>
    <w:rsid w:val="005006CE"/>
    <w:rsid w:val="005008CF"/>
    <w:rsid w:val="00500CD5"/>
    <w:rsid w:val="00500FC3"/>
    <w:rsid w:val="005014DC"/>
    <w:rsid w:val="005018CE"/>
    <w:rsid w:val="00501EE3"/>
    <w:rsid w:val="0050324F"/>
    <w:rsid w:val="00503571"/>
    <w:rsid w:val="00503589"/>
    <w:rsid w:val="00503C0A"/>
    <w:rsid w:val="00503D28"/>
    <w:rsid w:val="00503EC6"/>
    <w:rsid w:val="00504C98"/>
    <w:rsid w:val="005055B2"/>
    <w:rsid w:val="0050582E"/>
    <w:rsid w:val="00505BD1"/>
    <w:rsid w:val="00505BF0"/>
    <w:rsid w:val="00505FC8"/>
    <w:rsid w:val="0050624E"/>
    <w:rsid w:val="005062B3"/>
    <w:rsid w:val="0050754C"/>
    <w:rsid w:val="005075C8"/>
    <w:rsid w:val="00507624"/>
    <w:rsid w:val="00507FB1"/>
    <w:rsid w:val="0051017A"/>
    <w:rsid w:val="00510808"/>
    <w:rsid w:val="00510D7B"/>
    <w:rsid w:val="00511095"/>
    <w:rsid w:val="00511263"/>
    <w:rsid w:val="005123AD"/>
    <w:rsid w:val="00512C32"/>
    <w:rsid w:val="00512CEB"/>
    <w:rsid w:val="00512E2F"/>
    <w:rsid w:val="0051301C"/>
    <w:rsid w:val="00513268"/>
    <w:rsid w:val="005139F4"/>
    <w:rsid w:val="00513CFD"/>
    <w:rsid w:val="0051429B"/>
    <w:rsid w:val="0051456F"/>
    <w:rsid w:val="005146A9"/>
    <w:rsid w:val="00514D0B"/>
    <w:rsid w:val="00515BC7"/>
    <w:rsid w:val="0051610E"/>
    <w:rsid w:val="00516117"/>
    <w:rsid w:val="005179C1"/>
    <w:rsid w:val="00517C8E"/>
    <w:rsid w:val="00517F63"/>
    <w:rsid w:val="005206DF"/>
    <w:rsid w:val="00521D22"/>
    <w:rsid w:val="00521FA6"/>
    <w:rsid w:val="00522073"/>
    <w:rsid w:val="00522163"/>
    <w:rsid w:val="005222BB"/>
    <w:rsid w:val="00522805"/>
    <w:rsid w:val="005228F1"/>
    <w:rsid w:val="00522CE9"/>
    <w:rsid w:val="00522D25"/>
    <w:rsid w:val="00522E89"/>
    <w:rsid w:val="0052320C"/>
    <w:rsid w:val="0052404C"/>
    <w:rsid w:val="005246A3"/>
    <w:rsid w:val="005250D0"/>
    <w:rsid w:val="00525472"/>
    <w:rsid w:val="005258E9"/>
    <w:rsid w:val="0052599F"/>
    <w:rsid w:val="00525D71"/>
    <w:rsid w:val="00526169"/>
    <w:rsid w:val="005264AC"/>
    <w:rsid w:val="00526513"/>
    <w:rsid w:val="00526B78"/>
    <w:rsid w:val="00527565"/>
    <w:rsid w:val="00527E13"/>
    <w:rsid w:val="00527F47"/>
    <w:rsid w:val="00530027"/>
    <w:rsid w:val="00530A3B"/>
    <w:rsid w:val="00531152"/>
    <w:rsid w:val="00531884"/>
    <w:rsid w:val="00531AF4"/>
    <w:rsid w:val="005333A6"/>
    <w:rsid w:val="005335BC"/>
    <w:rsid w:val="00533E38"/>
    <w:rsid w:val="00533F28"/>
    <w:rsid w:val="00535CF8"/>
    <w:rsid w:val="00535F0C"/>
    <w:rsid w:val="00536347"/>
    <w:rsid w:val="00536613"/>
    <w:rsid w:val="00536839"/>
    <w:rsid w:val="00537C0F"/>
    <w:rsid w:val="0054108A"/>
    <w:rsid w:val="00542091"/>
    <w:rsid w:val="0054212E"/>
    <w:rsid w:val="00542771"/>
    <w:rsid w:val="0054354C"/>
    <w:rsid w:val="00543563"/>
    <w:rsid w:val="00543DC7"/>
    <w:rsid w:val="0054461B"/>
    <w:rsid w:val="00544ABA"/>
    <w:rsid w:val="00544FBA"/>
    <w:rsid w:val="005454A4"/>
    <w:rsid w:val="0054559C"/>
    <w:rsid w:val="00545664"/>
    <w:rsid w:val="005458CB"/>
    <w:rsid w:val="00545A3C"/>
    <w:rsid w:val="00546712"/>
    <w:rsid w:val="00546B62"/>
    <w:rsid w:val="005471EB"/>
    <w:rsid w:val="00547288"/>
    <w:rsid w:val="00547628"/>
    <w:rsid w:val="00547D96"/>
    <w:rsid w:val="00547E2D"/>
    <w:rsid w:val="005502F9"/>
    <w:rsid w:val="00551863"/>
    <w:rsid w:val="00552349"/>
    <w:rsid w:val="0055248A"/>
    <w:rsid w:val="00552857"/>
    <w:rsid w:val="00552C69"/>
    <w:rsid w:val="0055359C"/>
    <w:rsid w:val="00553671"/>
    <w:rsid w:val="005536BA"/>
    <w:rsid w:val="00553B92"/>
    <w:rsid w:val="00554632"/>
    <w:rsid w:val="00554BEC"/>
    <w:rsid w:val="00554C40"/>
    <w:rsid w:val="00554D70"/>
    <w:rsid w:val="00554F3F"/>
    <w:rsid w:val="00555338"/>
    <w:rsid w:val="00555916"/>
    <w:rsid w:val="00555FDC"/>
    <w:rsid w:val="00556B52"/>
    <w:rsid w:val="005601C1"/>
    <w:rsid w:val="005616DD"/>
    <w:rsid w:val="0056201D"/>
    <w:rsid w:val="005622B1"/>
    <w:rsid w:val="005623AD"/>
    <w:rsid w:val="0056270D"/>
    <w:rsid w:val="00562ED2"/>
    <w:rsid w:val="00563977"/>
    <w:rsid w:val="00563D40"/>
    <w:rsid w:val="00563F96"/>
    <w:rsid w:val="0056407C"/>
    <w:rsid w:val="005645C7"/>
    <w:rsid w:val="005645FA"/>
    <w:rsid w:val="0056498C"/>
    <w:rsid w:val="00564AEB"/>
    <w:rsid w:val="00564D33"/>
    <w:rsid w:val="00566C77"/>
    <w:rsid w:val="00566F51"/>
    <w:rsid w:val="00570648"/>
    <w:rsid w:val="00570D81"/>
    <w:rsid w:val="00571C01"/>
    <w:rsid w:val="00572697"/>
    <w:rsid w:val="00572B3D"/>
    <w:rsid w:val="00572B80"/>
    <w:rsid w:val="00572BF4"/>
    <w:rsid w:val="005733A4"/>
    <w:rsid w:val="00573504"/>
    <w:rsid w:val="00573A11"/>
    <w:rsid w:val="00573CEE"/>
    <w:rsid w:val="00574356"/>
    <w:rsid w:val="00575138"/>
    <w:rsid w:val="005754C8"/>
    <w:rsid w:val="00575A0D"/>
    <w:rsid w:val="00575D41"/>
    <w:rsid w:val="00576A9A"/>
    <w:rsid w:val="00577C61"/>
    <w:rsid w:val="00577F8E"/>
    <w:rsid w:val="00577FD5"/>
    <w:rsid w:val="00580217"/>
    <w:rsid w:val="005805DB"/>
    <w:rsid w:val="0058075E"/>
    <w:rsid w:val="005810D9"/>
    <w:rsid w:val="005812E1"/>
    <w:rsid w:val="0058187A"/>
    <w:rsid w:val="0058225F"/>
    <w:rsid w:val="00582A03"/>
    <w:rsid w:val="00582DD5"/>
    <w:rsid w:val="005835C3"/>
    <w:rsid w:val="0058379F"/>
    <w:rsid w:val="00583C8E"/>
    <w:rsid w:val="00583D13"/>
    <w:rsid w:val="0058457A"/>
    <w:rsid w:val="005845CF"/>
    <w:rsid w:val="00585943"/>
    <w:rsid w:val="00587734"/>
    <w:rsid w:val="00590174"/>
    <w:rsid w:val="00590653"/>
    <w:rsid w:val="00590B41"/>
    <w:rsid w:val="00590E8A"/>
    <w:rsid w:val="00591BCF"/>
    <w:rsid w:val="0059244C"/>
    <w:rsid w:val="0059246E"/>
    <w:rsid w:val="005928D7"/>
    <w:rsid w:val="005930E8"/>
    <w:rsid w:val="00593197"/>
    <w:rsid w:val="0059328C"/>
    <w:rsid w:val="0059338D"/>
    <w:rsid w:val="0059485A"/>
    <w:rsid w:val="00594B7B"/>
    <w:rsid w:val="00595039"/>
    <w:rsid w:val="0059537F"/>
    <w:rsid w:val="00595785"/>
    <w:rsid w:val="005958A0"/>
    <w:rsid w:val="00595DA5"/>
    <w:rsid w:val="00596006"/>
    <w:rsid w:val="00596C66"/>
    <w:rsid w:val="0059702F"/>
    <w:rsid w:val="0059736B"/>
    <w:rsid w:val="005975B6"/>
    <w:rsid w:val="00597712"/>
    <w:rsid w:val="0059774E"/>
    <w:rsid w:val="005A105A"/>
    <w:rsid w:val="005A14C9"/>
    <w:rsid w:val="005A162B"/>
    <w:rsid w:val="005A167A"/>
    <w:rsid w:val="005A16B3"/>
    <w:rsid w:val="005A1A1C"/>
    <w:rsid w:val="005A1D0E"/>
    <w:rsid w:val="005A1D3D"/>
    <w:rsid w:val="005A1FBC"/>
    <w:rsid w:val="005A2350"/>
    <w:rsid w:val="005A2947"/>
    <w:rsid w:val="005A2AA8"/>
    <w:rsid w:val="005A2D0E"/>
    <w:rsid w:val="005A2EE3"/>
    <w:rsid w:val="005A3173"/>
    <w:rsid w:val="005A34A4"/>
    <w:rsid w:val="005A352D"/>
    <w:rsid w:val="005A3B4D"/>
    <w:rsid w:val="005A3CEF"/>
    <w:rsid w:val="005A3E1D"/>
    <w:rsid w:val="005A43F3"/>
    <w:rsid w:val="005A4496"/>
    <w:rsid w:val="005A4C76"/>
    <w:rsid w:val="005A56DB"/>
    <w:rsid w:val="005A57E4"/>
    <w:rsid w:val="005A5A17"/>
    <w:rsid w:val="005A64A6"/>
    <w:rsid w:val="005A656C"/>
    <w:rsid w:val="005A658F"/>
    <w:rsid w:val="005A6C48"/>
    <w:rsid w:val="005A741C"/>
    <w:rsid w:val="005A7819"/>
    <w:rsid w:val="005A7A89"/>
    <w:rsid w:val="005B094D"/>
    <w:rsid w:val="005B0FEE"/>
    <w:rsid w:val="005B10DE"/>
    <w:rsid w:val="005B116A"/>
    <w:rsid w:val="005B1252"/>
    <w:rsid w:val="005B167B"/>
    <w:rsid w:val="005B25CC"/>
    <w:rsid w:val="005B2643"/>
    <w:rsid w:val="005B2944"/>
    <w:rsid w:val="005B2C44"/>
    <w:rsid w:val="005B31E5"/>
    <w:rsid w:val="005B334B"/>
    <w:rsid w:val="005B3485"/>
    <w:rsid w:val="005B4824"/>
    <w:rsid w:val="005B5196"/>
    <w:rsid w:val="005B6047"/>
    <w:rsid w:val="005B6542"/>
    <w:rsid w:val="005B6935"/>
    <w:rsid w:val="005B6CEA"/>
    <w:rsid w:val="005B7BF5"/>
    <w:rsid w:val="005C00F4"/>
    <w:rsid w:val="005C07F2"/>
    <w:rsid w:val="005C0D41"/>
    <w:rsid w:val="005C0EA5"/>
    <w:rsid w:val="005C1204"/>
    <w:rsid w:val="005C1818"/>
    <w:rsid w:val="005C19EE"/>
    <w:rsid w:val="005C232C"/>
    <w:rsid w:val="005C24C5"/>
    <w:rsid w:val="005C2C35"/>
    <w:rsid w:val="005C2E68"/>
    <w:rsid w:val="005C3A84"/>
    <w:rsid w:val="005C3D69"/>
    <w:rsid w:val="005C3EE3"/>
    <w:rsid w:val="005C40E0"/>
    <w:rsid w:val="005C45CA"/>
    <w:rsid w:val="005C52D4"/>
    <w:rsid w:val="005C54F1"/>
    <w:rsid w:val="005C644D"/>
    <w:rsid w:val="005C6891"/>
    <w:rsid w:val="005C6A23"/>
    <w:rsid w:val="005C6A79"/>
    <w:rsid w:val="005C6AE7"/>
    <w:rsid w:val="005C6AF4"/>
    <w:rsid w:val="005C6BEC"/>
    <w:rsid w:val="005C6E9F"/>
    <w:rsid w:val="005C74D2"/>
    <w:rsid w:val="005C75EC"/>
    <w:rsid w:val="005C7A3B"/>
    <w:rsid w:val="005C7E15"/>
    <w:rsid w:val="005D040A"/>
    <w:rsid w:val="005D0A00"/>
    <w:rsid w:val="005D180B"/>
    <w:rsid w:val="005D1DF5"/>
    <w:rsid w:val="005D2190"/>
    <w:rsid w:val="005D2E58"/>
    <w:rsid w:val="005D3E45"/>
    <w:rsid w:val="005D445D"/>
    <w:rsid w:val="005D4845"/>
    <w:rsid w:val="005D57BD"/>
    <w:rsid w:val="005D641A"/>
    <w:rsid w:val="005D66FC"/>
    <w:rsid w:val="005D6794"/>
    <w:rsid w:val="005D6F35"/>
    <w:rsid w:val="005D72A4"/>
    <w:rsid w:val="005D7C66"/>
    <w:rsid w:val="005D7E21"/>
    <w:rsid w:val="005E02AF"/>
    <w:rsid w:val="005E0FC2"/>
    <w:rsid w:val="005E1621"/>
    <w:rsid w:val="005E1B86"/>
    <w:rsid w:val="005E28B5"/>
    <w:rsid w:val="005E2BB8"/>
    <w:rsid w:val="005E30F0"/>
    <w:rsid w:val="005E3183"/>
    <w:rsid w:val="005E33C3"/>
    <w:rsid w:val="005E385E"/>
    <w:rsid w:val="005E3B22"/>
    <w:rsid w:val="005E3CDB"/>
    <w:rsid w:val="005E4836"/>
    <w:rsid w:val="005E497C"/>
    <w:rsid w:val="005E4F48"/>
    <w:rsid w:val="005E5261"/>
    <w:rsid w:val="005E56AD"/>
    <w:rsid w:val="005E5A9F"/>
    <w:rsid w:val="005E61E3"/>
    <w:rsid w:val="005E6257"/>
    <w:rsid w:val="005E640C"/>
    <w:rsid w:val="005E67FB"/>
    <w:rsid w:val="005E6E9E"/>
    <w:rsid w:val="005E7B28"/>
    <w:rsid w:val="005E7B53"/>
    <w:rsid w:val="005F0226"/>
    <w:rsid w:val="005F027F"/>
    <w:rsid w:val="005F036A"/>
    <w:rsid w:val="005F0546"/>
    <w:rsid w:val="005F1979"/>
    <w:rsid w:val="005F2EA6"/>
    <w:rsid w:val="005F3BC8"/>
    <w:rsid w:val="005F498A"/>
    <w:rsid w:val="005F4995"/>
    <w:rsid w:val="005F4F9A"/>
    <w:rsid w:val="005F564B"/>
    <w:rsid w:val="005F57B0"/>
    <w:rsid w:val="005F57DB"/>
    <w:rsid w:val="005F5B7A"/>
    <w:rsid w:val="005F6394"/>
    <w:rsid w:val="005F64E7"/>
    <w:rsid w:val="005F6AC3"/>
    <w:rsid w:val="005F6FCD"/>
    <w:rsid w:val="005F7182"/>
    <w:rsid w:val="005F7A0C"/>
    <w:rsid w:val="005F7B29"/>
    <w:rsid w:val="0060006E"/>
    <w:rsid w:val="006009BA"/>
    <w:rsid w:val="00600C5B"/>
    <w:rsid w:val="00600E95"/>
    <w:rsid w:val="006014E0"/>
    <w:rsid w:val="00601880"/>
    <w:rsid w:val="00601CA7"/>
    <w:rsid w:val="00601EB0"/>
    <w:rsid w:val="00602647"/>
    <w:rsid w:val="00602B20"/>
    <w:rsid w:val="00603370"/>
    <w:rsid w:val="0060362D"/>
    <w:rsid w:val="006039BC"/>
    <w:rsid w:val="00603A66"/>
    <w:rsid w:val="00603A8B"/>
    <w:rsid w:val="00603C1A"/>
    <w:rsid w:val="00603FF3"/>
    <w:rsid w:val="00604181"/>
    <w:rsid w:val="00604672"/>
    <w:rsid w:val="006048DF"/>
    <w:rsid w:val="006050BC"/>
    <w:rsid w:val="006050D9"/>
    <w:rsid w:val="00605979"/>
    <w:rsid w:val="00605BA3"/>
    <w:rsid w:val="00606098"/>
    <w:rsid w:val="0060612B"/>
    <w:rsid w:val="006062BC"/>
    <w:rsid w:val="006065D1"/>
    <w:rsid w:val="0060679A"/>
    <w:rsid w:val="00607297"/>
    <w:rsid w:val="00607E46"/>
    <w:rsid w:val="00610267"/>
    <w:rsid w:val="006102C1"/>
    <w:rsid w:val="00610F1A"/>
    <w:rsid w:val="00611050"/>
    <w:rsid w:val="00611205"/>
    <w:rsid w:val="00612646"/>
    <w:rsid w:val="00612873"/>
    <w:rsid w:val="00612994"/>
    <w:rsid w:val="00612D3D"/>
    <w:rsid w:val="00612FBF"/>
    <w:rsid w:val="00614009"/>
    <w:rsid w:val="006140A8"/>
    <w:rsid w:val="006142F1"/>
    <w:rsid w:val="006146E9"/>
    <w:rsid w:val="0061560A"/>
    <w:rsid w:val="006158CE"/>
    <w:rsid w:val="00616B84"/>
    <w:rsid w:val="00616E18"/>
    <w:rsid w:val="006177DD"/>
    <w:rsid w:val="006178F3"/>
    <w:rsid w:val="00617B1C"/>
    <w:rsid w:val="00620BAF"/>
    <w:rsid w:val="00621508"/>
    <w:rsid w:val="006216C9"/>
    <w:rsid w:val="006219F9"/>
    <w:rsid w:val="00621B10"/>
    <w:rsid w:val="00621BA3"/>
    <w:rsid w:val="00622634"/>
    <w:rsid w:val="00622FFB"/>
    <w:rsid w:val="00623631"/>
    <w:rsid w:val="00623B58"/>
    <w:rsid w:val="00623F0A"/>
    <w:rsid w:val="00624F08"/>
    <w:rsid w:val="00625649"/>
    <w:rsid w:val="00625680"/>
    <w:rsid w:val="006257D0"/>
    <w:rsid w:val="00625A65"/>
    <w:rsid w:val="00626363"/>
    <w:rsid w:val="00626BC0"/>
    <w:rsid w:val="00627127"/>
    <w:rsid w:val="00627939"/>
    <w:rsid w:val="00627AF0"/>
    <w:rsid w:val="006308CF"/>
    <w:rsid w:val="00630EF5"/>
    <w:rsid w:val="00630FD1"/>
    <w:rsid w:val="006310AB"/>
    <w:rsid w:val="00632341"/>
    <w:rsid w:val="0063246E"/>
    <w:rsid w:val="00632CCD"/>
    <w:rsid w:val="0063377F"/>
    <w:rsid w:val="006340DB"/>
    <w:rsid w:val="0063491E"/>
    <w:rsid w:val="00634CE1"/>
    <w:rsid w:val="00635156"/>
    <w:rsid w:val="00635167"/>
    <w:rsid w:val="0063581A"/>
    <w:rsid w:val="00635C71"/>
    <w:rsid w:val="00636243"/>
    <w:rsid w:val="00637528"/>
    <w:rsid w:val="00637610"/>
    <w:rsid w:val="00637A2A"/>
    <w:rsid w:val="00640077"/>
    <w:rsid w:val="00640114"/>
    <w:rsid w:val="00640434"/>
    <w:rsid w:val="0064095D"/>
    <w:rsid w:val="006409F7"/>
    <w:rsid w:val="00640EE6"/>
    <w:rsid w:val="00640F67"/>
    <w:rsid w:val="0064109C"/>
    <w:rsid w:val="00641D5A"/>
    <w:rsid w:val="00641ED5"/>
    <w:rsid w:val="006432D2"/>
    <w:rsid w:val="00643392"/>
    <w:rsid w:val="006433C7"/>
    <w:rsid w:val="00643617"/>
    <w:rsid w:val="00643833"/>
    <w:rsid w:val="00643840"/>
    <w:rsid w:val="00643BD3"/>
    <w:rsid w:val="00644EA9"/>
    <w:rsid w:val="006459EC"/>
    <w:rsid w:val="00645B86"/>
    <w:rsid w:val="00645C4F"/>
    <w:rsid w:val="006462F6"/>
    <w:rsid w:val="00646BDB"/>
    <w:rsid w:val="00646D04"/>
    <w:rsid w:val="00646F97"/>
    <w:rsid w:val="00650328"/>
    <w:rsid w:val="006508D0"/>
    <w:rsid w:val="00650A1B"/>
    <w:rsid w:val="00650DDC"/>
    <w:rsid w:val="006510B8"/>
    <w:rsid w:val="006514F5"/>
    <w:rsid w:val="0065151B"/>
    <w:rsid w:val="00651ED7"/>
    <w:rsid w:val="006520B0"/>
    <w:rsid w:val="0065280B"/>
    <w:rsid w:val="00652D42"/>
    <w:rsid w:val="00652FB3"/>
    <w:rsid w:val="00652FC0"/>
    <w:rsid w:val="0065311C"/>
    <w:rsid w:val="00653DB2"/>
    <w:rsid w:val="00653E74"/>
    <w:rsid w:val="006542DE"/>
    <w:rsid w:val="0065454C"/>
    <w:rsid w:val="006549D7"/>
    <w:rsid w:val="00655879"/>
    <w:rsid w:val="00655CCD"/>
    <w:rsid w:val="00657096"/>
    <w:rsid w:val="006612FE"/>
    <w:rsid w:val="00661815"/>
    <w:rsid w:val="006625FC"/>
    <w:rsid w:val="00662C31"/>
    <w:rsid w:val="00663378"/>
    <w:rsid w:val="00663AB2"/>
    <w:rsid w:val="00664038"/>
    <w:rsid w:val="0066559B"/>
    <w:rsid w:val="00665A91"/>
    <w:rsid w:val="00665EAB"/>
    <w:rsid w:val="00665EC9"/>
    <w:rsid w:val="00666014"/>
    <w:rsid w:val="00666054"/>
    <w:rsid w:val="00666678"/>
    <w:rsid w:val="0066685F"/>
    <w:rsid w:val="00666C0F"/>
    <w:rsid w:val="00667006"/>
    <w:rsid w:val="0066704C"/>
    <w:rsid w:val="00667EC3"/>
    <w:rsid w:val="00667F8E"/>
    <w:rsid w:val="0067026B"/>
    <w:rsid w:val="006705F5"/>
    <w:rsid w:val="006718DA"/>
    <w:rsid w:val="00671957"/>
    <w:rsid w:val="006728C7"/>
    <w:rsid w:val="00672D62"/>
    <w:rsid w:val="0067362B"/>
    <w:rsid w:val="00673F9E"/>
    <w:rsid w:val="00674A30"/>
    <w:rsid w:val="00674D51"/>
    <w:rsid w:val="00675419"/>
    <w:rsid w:val="00675932"/>
    <w:rsid w:val="0067598A"/>
    <w:rsid w:val="00675B3B"/>
    <w:rsid w:val="00676B06"/>
    <w:rsid w:val="00676E70"/>
    <w:rsid w:val="00676E9C"/>
    <w:rsid w:val="00676F1B"/>
    <w:rsid w:val="00677138"/>
    <w:rsid w:val="00677489"/>
    <w:rsid w:val="006774AA"/>
    <w:rsid w:val="006778F2"/>
    <w:rsid w:val="00677925"/>
    <w:rsid w:val="00680F1B"/>
    <w:rsid w:val="00681216"/>
    <w:rsid w:val="0068207E"/>
    <w:rsid w:val="006832D7"/>
    <w:rsid w:val="00683A66"/>
    <w:rsid w:val="00683D13"/>
    <w:rsid w:val="00683F32"/>
    <w:rsid w:val="006846F3"/>
    <w:rsid w:val="00684F14"/>
    <w:rsid w:val="00684FA3"/>
    <w:rsid w:val="00685146"/>
    <w:rsid w:val="0068528A"/>
    <w:rsid w:val="006859CC"/>
    <w:rsid w:val="00685A90"/>
    <w:rsid w:val="00685FE8"/>
    <w:rsid w:val="0068615C"/>
    <w:rsid w:val="006863DD"/>
    <w:rsid w:val="006868CE"/>
    <w:rsid w:val="00686E9C"/>
    <w:rsid w:val="00687442"/>
    <w:rsid w:val="006876BF"/>
    <w:rsid w:val="006879DB"/>
    <w:rsid w:val="00687B2A"/>
    <w:rsid w:val="00690E29"/>
    <w:rsid w:val="006914FE"/>
    <w:rsid w:val="00691DF4"/>
    <w:rsid w:val="006937B3"/>
    <w:rsid w:val="00693999"/>
    <w:rsid w:val="00694048"/>
    <w:rsid w:val="0069459C"/>
    <w:rsid w:val="00695010"/>
    <w:rsid w:val="0069546D"/>
    <w:rsid w:val="00696BDD"/>
    <w:rsid w:val="00696D61"/>
    <w:rsid w:val="00696E26"/>
    <w:rsid w:val="00696EEA"/>
    <w:rsid w:val="0069700E"/>
    <w:rsid w:val="00697618"/>
    <w:rsid w:val="0069779F"/>
    <w:rsid w:val="00697E96"/>
    <w:rsid w:val="00697F18"/>
    <w:rsid w:val="006A0419"/>
    <w:rsid w:val="006A07A9"/>
    <w:rsid w:val="006A097A"/>
    <w:rsid w:val="006A0991"/>
    <w:rsid w:val="006A0F77"/>
    <w:rsid w:val="006A1372"/>
    <w:rsid w:val="006A1803"/>
    <w:rsid w:val="006A19EC"/>
    <w:rsid w:val="006A1EC7"/>
    <w:rsid w:val="006A1F6B"/>
    <w:rsid w:val="006A240E"/>
    <w:rsid w:val="006A2645"/>
    <w:rsid w:val="006A3818"/>
    <w:rsid w:val="006A3CD0"/>
    <w:rsid w:val="006A422B"/>
    <w:rsid w:val="006A4B44"/>
    <w:rsid w:val="006A4D45"/>
    <w:rsid w:val="006A4DAE"/>
    <w:rsid w:val="006A5039"/>
    <w:rsid w:val="006A5154"/>
    <w:rsid w:val="006A5310"/>
    <w:rsid w:val="006A5CBA"/>
    <w:rsid w:val="006A5E2A"/>
    <w:rsid w:val="006A5E35"/>
    <w:rsid w:val="006A6475"/>
    <w:rsid w:val="006A668C"/>
    <w:rsid w:val="006A6A6A"/>
    <w:rsid w:val="006A7200"/>
    <w:rsid w:val="006A73C8"/>
    <w:rsid w:val="006A7CE8"/>
    <w:rsid w:val="006B0018"/>
    <w:rsid w:val="006B0035"/>
    <w:rsid w:val="006B09FA"/>
    <w:rsid w:val="006B1120"/>
    <w:rsid w:val="006B154F"/>
    <w:rsid w:val="006B197A"/>
    <w:rsid w:val="006B2042"/>
    <w:rsid w:val="006B25FD"/>
    <w:rsid w:val="006B2716"/>
    <w:rsid w:val="006B2AEB"/>
    <w:rsid w:val="006B2FC1"/>
    <w:rsid w:val="006B3577"/>
    <w:rsid w:val="006B3FAB"/>
    <w:rsid w:val="006B45EF"/>
    <w:rsid w:val="006B4889"/>
    <w:rsid w:val="006B4984"/>
    <w:rsid w:val="006B502D"/>
    <w:rsid w:val="006B54E1"/>
    <w:rsid w:val="006B57E4"/>
    <w:rsid w:val="006B5934"/>
    <w:rsid w:val="006B5A96"/>
    <w:rsid w:val="006B5AD2"/>
    <w:rsid w:val="006B5F61"/>
    <w:rsid w:val="006B628E"/>
    <w:rsid w:val="006B68B9"/>
    <w:rsid w:val="006B71E6"/>
    <w:rsid w:val="006B7489"/>
    <w:rsid w:val="006B758B"/>
    <w:rsid w:val="006B7754"/>
    <w:rsid w:val="006B7988"/>
    <w:rsid w:val="006B7C8F"/>
    <w:rsid w:val="006B7D79"/>
    <w:rsid w:val="006B7F2E"/>
    <w:rsid w:val="006C02C1"/>
    <w:rsid w:val="006C02DB"/>
    <w:rsid w:val="006C030E"/>
    <w:rsid w:val="006C05B4"/>
    <w:rsid w:val="006C0696"/>
    <w:rsid w:val="006C1998"/>
    <w:rsid w:val="006C25C1"/>
    <w:rsid w:val="006C26ED"/>
    <w:rsid w:val="006C2B41"/>
    <w:rsid w:val="006C304A"/>
    <w:rsid w:val="006C3498"/>
    <w:rsid w:val="006C3829"/>
    <w:rsid w:val="006C3C48"/>
    <w:rsid w:val="006C4A98"/>
    <w:rsid w:val="006C53C9"/>
    <w:rsid w:val="006C5495"/>
    <w:rsid w:val="006C5C02"/>
    <w:rsid w:val="006C67CF"/>
    <w:rsid w:val="006C7445"/>
    <w:rsid w:val="006C7545"/>
    <w:rsid w:val="006D036F"/>
    <w:rsid w:val="006D0A3F"/>
    <w:rsid w:val="006D1488"/>
    <w:rsid w:val="006D14F8"/>
    <w:rsid w:val="006D22A2"/>
    <w:rsid w:val="006D2990"/>
    <w:rsid w:val="006D2EA1"/>
    <w:rsid w:val="006D321A"/>
    <w:rsid w:val="006D3229"/>
    <w:rsid w:val="006D348B"/>
    <w:rsid w:val="006D3B21"/>
    <w:rsid w:val="006D446D"/>
    <w:rsid w:val="006D569E"/>
    <w:rsid w:val="006D5DC9"/>
    <w:rsid w:val="006D63E3"/>
    <w:rsid w:val="006D67C0"/>
    <w:rsid w:val="006E01A5"/>
    <w:rsid w:val="006E01E3"/>
    <w:rsid w:val="006E05A7"/>
    <w:rsid w:val="006E06CA"/>
    <w:rsid w:val="006E0945"/>
    <w:rsid w:val="006E12D3"/>
    <w:rsid w:val="006E142B"/>
    <w:rsid w:val="006E15C4"/>
    <w:rsid w:val="006E1650"/>
    <w:rsid w:val="006E19F6"/>
    <w:rsid w:val="006E1FE2"/>
    <w:rsid w:val="006E2226"/>
    <w:rsid w:val="006E2303"/>
    <w:rsid w:val="006E24A6"/>
    <w:rsid w:val="006E300A"/>
    <w:rsid w:val="006E3153"/>
    <w:rsid w:val="006E32C9"/>
    <w:rsid w:val="006E3B50"/>
    <w:rsid w:val="006E4BED"/>
    <w:rsid w:val="006E4E99"/>
    <w:rsid w:val="006E533E"/>
    <w:rsid w:val="006F0370"/>
    <w:rsid w:val="006F0731"/>
    <w:rsid w:val="006F1719"/>
    <w:rsid w:val="006F1D4A"/>
    <w:rsid w:val="006F2201"/>
    <w:rsid w:val="006F2259"/>
    <w:rsid w:val="006F2ABB"/>
    <w:rsid w:val="006F2AD6"/>
    <w:rsid w:val="006F2BAC"/>
    <w:rsid w:val="006F2BF4"/>
    <w:rsid w:val="006F2FDE"/>
    <w:rsid w:val="006F3503"/>
    <w:rsid w:val="006F3AAD"/>
    <w:rsid w:val="006F557D"/>
    <w:rsid w:val="006F582D"/>
    <w:rsid w:val="006F5C23"/>
    <w:rsid w:val="006F5EC1"/>
    <w:rsid w:val="006F615D"/>
    <w:rsid w:val="006F65B0"/>
    <w:rsid w:val="006F68D5"/>
    <w:rsid w:val="006F6976"/>
    <w:rsid w:val="006F7824"/>
    <w:rsid w:val="00700A46"/>
    <w:rsid w:val="00701085"/>
    <w:rsid w:val="00702277"/>
    <w:rsid w:val="0070286B"/>
    <w:rsid w:val="007030CA"/>
    <w:rsid w:val="00703827"/>
    <w:rsid w:val="00703CB6"/>
    <w:rsid w:val="007042FA"/>
    <w:rsid w:val="007043CC"/>
    <w:rsid w:val="007043E4"/>
    <w:rsid w:val="0070449B"/>
    <w:rsid w:val="007045A0"/>
    <w:rsid w:val="00704604"/>
    <w:rsid w:val="00704B81"/>
    <w:rsid w:val="00704F5F"/>
    <w:rsid w:val="0070639E"/>
    <w:rsid w:val="00706552"/>
    <w:rsid w:val="00706E06"/>
    <w:rsid w:val="007074A2"/>
    <w:rsid w:val="00710503"/>
    <w:rsid w:val="007106DC"/>
    <w:rsid w:val="0071137E"/>
    <w:rsid w:val="00711C22"/>
    <w:rsid w:val="0071216D"/>
    <w:rsid w:val="007127AA"/>
    <w:rsid w:val="00712996"/>
    <w:rsid w:val="0071330A"/>
    <w:rsid w:val="007134F4"/>
    <w:rsid w:val="00713CB4"/>
    <w:rsid w:val="007140BF"/>
    <w:rsid w:val="00715179"/>
    <w:rsid w:val="0071666E"/>
    <w:rsid w:val="00716E1C"/>
    <w:rsid w:val="00717C82"/>
    <w:rsid w:val="00720D69"/>
    <w:rsid w:val="00720DE0"/>
    <w:rsid w:val="007212D0"/>
    <w:rsid w:val="00721754"/>
    <w:rsid w:val="00721D80"/>
    <w:rsid w:val="007227D2"/>
    <w:rsid w:val="00722C47"/>
    <w:rsid w:val="00722D36"/>
    <w:rsid w:val="00722E01"/>
    <w:rsid w:val="0072306A"/>
    <w:rsid w:val="007239F1"/>
    <w:rsid w:val="00723EDF"/>
    <w:rsid w:val="00724216"/>
    <w:rsid w:val="0072444A"/>
    <w:rsid w:val="00725216"/>
    <w:rsid w:val="0072620D"/>
    <w:rsid w:val="007268D0"/>
    <w:rsid w:val="00726AB2"/>
    <w:rsid w:val="00727F57"/>
    <w:rsid w:val="00730042"/>
    <w:rsid w:val="00730218"/>
    <w:rsid w:val="00730279"/>
    <w:rsid w:val="00730432"/>
    <w:rsid w:val="00730786"/>
    <w:rsid w:val="007309F3"/>
    <w:rsid w:val="00730D23"/>
    <w:rsid w:val="00731152"/>
    <w:rsid w:val="0073142F"/>
    <w:rsid w:val="00731476"/>
    <w:rsid w:val="00731485"/>
    <w:rsid w:val="007314C1"/>
    <w:rsid w:val="00731B5B"/>
    <w:rsid w:val="007340C7"/>
    <w:rsid w:val="007349BF"/>
    <w:rsid w:val="00735320"/>
    <w:rsid w:val="007353B4"/>
    <w:rsid w:val="00735807"/>
    <w:rsid w:val="00735D21"/>
    <w:rsid w:val="00735F04"/>
    <w:rsid w:val="00740259"/>
    <w:rsid w:val="0074054E"/>
    <w:rsid w:val="00740672"/>
    <w:rsid w:val="0074098F"/>
    <w:rsid w:val="00740AC3"/>
    <w:rsid w:val="00743354"/>
    <w:rsid w:val="00744632"/>
    <w:rsid w:val="007448B3"/>
    <w:rsid w:val="0074570F"/>
    <w:rsid w:val="007458B7"/>
    <w:rsid w:val="007459E3"/>
    <w:rsid w:val="00745DA7"/>
    <w:rsid w:val="0074608F"/>
    <w:rsid w:val="00746BC1"/>
    <w:rsid w:val="00746CD9"/>
    <w:rsid w:val="0074758F"/>
    <w:rsid w:val="0074770E"/>
    <w:rsid w:val="0074787A"/>
    <w:rsid w:val="007478E8"/>
    <w:rsid w:val="00747DC6"/>
    <w:rsid w:val="00750055"/>
    <w:rsid w:val="00750206"/>
    <w:rsid w:val="00750915"/>
    <w:rsid w:val="00750B3F"/>
    <w:rsid w:val="00751224"/>
    <w:rsid w:val="0075183C"/>
    <w:rsid w:val="007519E5"/>
    <w:rsid w:val="0075223B"/>
    <w:rsid w:val="007539FF"/>
    <w:rsid w:val="00753CB1"/>
    <w:rsid w:val="007542D3"/>
    <w:rsid w:val="00754C34"/>
    <w:rsid w:val="00754C56"/>
    <w:rsid w:val="00754CF8"/>
    <w:rsid w:val="00754E21"/>
    <w:rsid w:val="00754F6E"/>
    <w:rsid w:val="00755339"/>
    <w:rsid w:val="00755654"/>
    <w:rsid w:val="0075583B"/>
    <w:rsid w:val="00756081"/>
    <w:rsid w:val="007566D7"/>
    <w:rsid w:val="00756B14"/>
    <w:rsid w:val="007571EF"/>
    <w:rsid w:val="007572CA"/>
    <w:rsid w:val="0075745C"/>
    <w:rsid w:val="00760DF1"/>
    <w:rsid w:val="007612CF"/>
    <w:rsid w:val="007622B4"/>
    <w:rsid w:val="00762E09"/>
    <w:rsid w:val="00763B46"/>
    <w:rsid w:val="00763E6A"/>
    <w:rsid w:val="0076521F"/>
    <w:rsid w:val="007653E4"/>
    <w:rsid w:val="00766B00"/>
    <w:rsid w:val="00766B30"/>
    <w:rsid w:val="00766C27"/>
    <w:rsid w:val="00767064"/>
    <w:rsid w:val="00767555"/>
    <w:rsid w:val="00770584"/>
    <w:rsid w:val="0077092E"/>
    <w:rsid w:val="007709AC"/>
    <w:rsid w:val="007709FD"/>
    <w:rsid w:val="00770A4F"/>
    <w:rsid w:val="00770ADD"/>
    <w:rsid w:val="00770DC5"/>
    <w:rsid w:val="007717C5"/>
    <w:rsid w:val="0077188E"/>
    <w:rsid w:val="00771B05"/>
    <w:rsid w:val="00771C36"/>
    <w:rsid w:val="00771E20"/>
    <w:rsid w:val="00773026"/>
    <w:rsid w:val="0077358C"/>
    <w:rsid w:val="0077363A"/>
    <w:rsid w:val="007748A0"/>
    <w:rsid w:val="0077566A"/>
    <w:rsid w:val="00775C8F"/>
    <w:rsid w:val="007771E0"/>
    <w:rsid w:val="00777321"/>
    <w:rsid w:val="007773A0"/>
    <w:rsid w:val="00777D0F"/>
    <w:rsid w:val="0078251C"/>
    <w:rsid w:val="007828B2"/>
    <w:rsid w:val="00783186"/>
    <w:rsid w:val="00783258"/>
    <w:rsid w:val="0078371D"/>
    <w:rsid w:val="00783A10"/>
    <w:rsid w:val="00783A47"/>
    <w:rsid w:val="00783B53"/>
    <w:rsid w:val="00784252"/>
    <w:rsid w:val="007844D6"/>
    <w:rsid w:val="007845B5"/>
    <w:rsid w:val="007849AE"/>
    <w:rsid w:val="00784D99"/>
    <w:rsid w:val="0078518C"/>
    <w:rsid w:val="00785262"/>
    <w:rsid w:val="007859B4"/>
    <w:rsid w:val="00785B7E"/>
    <w:rsid w:val="00786B9D"/>
    <w:rsid w:val="00787954"/>
    <w:rsid w:val="00787A8A"/>
    <w:rsid w:val="0079066D"/>
    <w:rsid w:val="00790768"/>
    <w:rsid w:val="007907E8"/>
    <w:rsid w:val="0079087A"/>
    <w:rsid w:val="00790C45"/>
    <w:rsid w:val="00790DC2"/>
    <w:rsid w:val="00790EC5"/>
    <w:rsid w:val="00791568"/>
    <w:rsid w:val="00791738"/>
    <w:rsid w:val="007921D1"/>
    <w:rsid w:val="007930F0"/>
    <w:rsid w:val="00793233"/>
    <w:rsid w:val="00794286"/>
    <w:rsid w:val="0079432D"/>
    <w:rsid w:val="00794C2D"/>
    <w:rsid w:val="0079556A"/>
    <w:rsid w:val="00795A17"/>
    <w:rsid w:val="007961A7"/>
    <w:rsid w:val="0079733D"/>
    <w:rsid w:val="0079776A"/>
    <w:rsid w:val="007977F3"/>
    <w:rsid w:val="00797A72"/>
    <w:rsid w:val="00797BFB"/>
    <w:rsid w:val="00797C9C"/>
    <w:rsid w:val="00797CC5"/>
    <w:rsid w:val="007A075B"/>
    <w:rsid w:val="007A08EC"/>
    <w:rsid w:val="007A0FA4"/>
    <w:rsid w:val="007A1206"/>
    <w:rsid w:val="007A12AD"/>
    <w:rsid w:val="007A13F6"/>
    <w:rsid w:val="007A151E"/>
    <w:rsid w:val="007A1F59"/>
    <w:rsid w:val="007A36AF"/>
    <w:rsid w:val="007A3728"/>
    <w:rsid w:val="007A4531"/>
    <w:rsid w:val="007A4C57"/>
    <w:rsid w:val="007A4D1E"/>
    <w:rsid w:val="007A5936"/>
    <w:rsid w:val="007A5BD8"/>
    <w:rsid w:val="007A6381"/>
    <w:rsid w:val="007A75EF"/>
    <w:rsid w:val="007A77A9"/>
    <w:rsid w:val="007A77CA"/>
    <w:rsid w:val="007B0085"/>
    <w:rsid w:val="007B01B0"/>
    <w:rsid w:val="007B0432"/>
    <w:rsid w:val="007B0BD5"/>
    <w:rsid w:val="007B1402"/>
    <w:rsid w:val="007B164E"/>
    <w:rsid w:val="007B27DF"/>
    <w:rsid w:val="007B2AA7"/>
    <w:rsid w:val="007B316F"/>
    <w:rsid w:val="007B3426"/>
    <w:rsid w:val="007B4496"/>
    <w:rsid w:val="007B4E59"/>
    <w:rsid w:val="007B5B70"/>
    <w:rsid w:val="007B5BDE"/>
    <w:rsid w:val="007B5CB0"/>
    <w:rsid w:val="007B5E4B"/>
    <w:rsid w:val="007B63BD"/>
    <w:rsid w:val="007B6C6F"/>
    <w:rsid w:val="007B7046"/>
    <w:rsid w:val="007B74A7"/>
    <w:rsid w:val="007B77B6"/>
    <w:rsid w:val="007B79A0"/>
    <w:rsid w:val="007B7E9F"/>
    <w:rsid w:val="007C02A2"/>
    <w:rsid w:val="007C0607"/>
    <w:rsid w:val="007C0D55"/>
    <w:rsid w:val="007C14FE"/>
    <w:rsid w:val="007C1B37"/>
    <w:rsid w:val="007C2A67"/>
    <w:rsid w:val="007C3262"/>
    <w:rsid w:val="007C32B2"/>
    <w:rsid w:val="007C55F9"/>
    <w:rsid w:val="007C604D"/>
    <w:rsid w:val="007C7195"/>
    <w:rsid w:val="007D05E6"/>
    <w:rsid w:val="007D12EE"/>
    <w:rsid w:val="007D158C"/>
    <w:rsid w:val="007D1A2F"/>
    <w:rsid w:val="007D2162"/>
    <w:rsid w:val="007D2E23"/>
    <w:rsid w:val="007D3379"/>
    <w:rsid w:val="007D3BE0"/>
    <w:rsid w:val="007D4E8B"/>
    <w:rsid w:val="007D4F1C"/>
    <w:rsid w:val="007D543D"/>
    <w:rsid w:val="007D5521"/>
    <w:rsid w:val="007D5754"/>
    <w:rsid w:val="007D6319"/>
    <w:rsid w:val="007D6333"/>
    <w:rsid w:val="007D642A"/>
    <w:rsid w:val="007D66BB"/>
    <w:rsid w:val="007D7A59"/>
    <w:rsid w:val="007E022F"/>
    <w:rsid w:val="007E0889"/>
    <w:rsid w:val="007E0E8A"/>
    <w:rsid w:val="007E1074"/>
    <w:rsid w:val="007E1B68"/>
    <w:rsid w:val="007E1DF4"/>
    <w:rsid w:val="007E1E6B"/>
    <w:rsid w:val="007E251A"/>
    <w:rsid w:val="007E266F"/>
    <w:rsid w:val="007E27F1"/>
    <w:rsid w:val="007E3072"/>
    <w:rsid w:val="007E33A2"/>
    <w:rsid w:val="007E375B"/>
    <w:rsid w:val="007E378A"/>
    <w:rsid w:val="007E48B2"/>
    <w:rsid w:val="007E4B10"/>
    <w:rsid w:val="007E4B78"/>
    <w:rsid w:val="007E4DBE"/>
    <w:rsid w:val="007E574B"/>
    <w:rsid w:val="007E6040"/>
    <w:rsid w:val="007E658D"/>
    <w:rsid w:val="007E6E67"/>
    <w:rsid w:val="007E7486"/>
    <w:rsid w:val="007E7BDE"/>
    <w:rsid w:val="007F0615"/>
    <w:rsid w:val="007F07F9"/>
    <w:rsid w:val="007F0F20"/>
    <w:rsid w:val="007F0F5B"/>
    <w:rsid w:val="007F14EA"/>
    <w:rsid w:val="007F15FD"/>
    <w:rsid w:val="007F1A00"/>
    <w:rsid w:val="007F2136"/>
    <w:rsid w:val="007F226C"/>
    <w:rsid w:val="007F35F4"/>
    <w:rsid w:val="007F3C9F"/>
    <w:rsid w:val="007F438F"/>
    <w:rsid w:val="007F44E7"/>
    <w:rsid w:val="007F4690"/>
    <w:rsid w:val="007F4A37"/>
    <w:rsid w:val="007F4CE2"/>
    <w:rsid w:val="007F508F"/>
    <w:rsid w:val="007F51DE"/>
    <w:rsid w:val="007F5281"/>
    <w:rsid w:val="007F55CA"/>
    <w:rsid w:val="007F5D76"/>
    <w:rsid w:val="007F5F4D"/>
    <w:rsid w:val="007F620C"/>
    <w:rsid w:val="007F6565"/>
    <w:rsid w:val="007F6733"/>
    <w:rsid w:val="007F69BE"/>
    <w:rsid w:val="007F6D61"/>
    <w:rsid w:val="007F6F1A"/>
    <w:rsid w:val="007F7500"/>
    <w:rsid w:val="007F7E44"/>
    <w:rsid w:val="0080099D"/>
    <w:rsid w:val="00801588"/>
    <w:rsid w:val="00801938"/>
    <w:rsid w:val="00801970"/>
    <w:rsid w:val="00801BB4"/>
    <w:rsid w:val="00801C27"/>
    <w:rsid w:val="00802011"/>
    <w:rsid w:val="00802655"/>
    <w:rsid w:val="00805198"/>
    <w:rsid w:val="00806196"/>
    <w:rsid w:val="00806445"/>
    <w:rsid w:val="008064A2"/>
    <w:rsid w:val="008074C3"/>
    <w:rsid w:val="00807696"/>
    <w:rsid w:val="00810097"/>
    <w:rsid w:val="008105C1"/>
    <w:rsid w:val="00810DAC"/>
    <w:rsid w:val="0081156B"/>
    <w:rsid w:val="008116B0"/>
    <w:rsid w:val="00811A93"/>
    <w:rsid w:val="008122A4"/>
    <w:rsid w:val="0081248D"/>
    <w:rsid w:val="008127E3"/>
    <w:rsid w:val="00812C94"/>
    <w:rsid w:val="00813016"/>
    <w:rsid w:val="00813146"/>
    <w:rsid w:val="00813D2E"/>
    <w:rsid w:val="00813D35"/>
    <w:rsid w:val="00813DF1"/>
    <w:rsid w:val="00814418"/>
    <w:rsid w:val="00814646"/>
    <w:rsid w:val="00814836"/>
    <w:rsid w:val="00814884"/>
    <w:rsid w:val="00814CA3"/>
    <w:rsid w:val="008153F8"/>
    <w:rsid w:val="00816F63"/>
    <w:rsid w:val="00817100"/>
    <w:rsid w:val="00817311"/>
    <w:rsid w:val="008173D0"/>
    <w:rsid w:val="00817890"/>
    <w:rsid w:val="00817931"/>
    <w:rsid w:val="0082009C"/>
    <w:rsid w:val="0082089B"/>
    <w:rsid w:val="008210B2"/>
    <w:rsid w:val="0082186C"/>
    <w:rsid w:val="00821B27"/>
    <w:rsid w:val="008225EB"/>
    <w:rsid w:val="00823186"/>
    <w:rsid w:val="00824024"/>
    <w:rsid w:val="0082436F"/>
    <w:rsid w:val="008249CC"/>
    <w:rsid w:val="00824DF2"/>
    <w:rsid w:val="0082520D"/>
    <w:rsid w:val="0082589A"/>
    <w:rsid w:val="00825936"/>
    <w:rsid w:val="00825D9D"/>
    <w:rsid w:val="00826BEC"/>
    <w:rsid w:val="00826C04"/>
    <w:rsid w:val="00826EF8"/>
    <w:rsid w:val="008271FF"/>
    <w:rsid w:val="00827312"/>
    <w:rsid w:val="00827833"/>
    <w:rsid w:val="00827C9C"/>
    <w:rsid w:val="00827FED"/>
    <w:rsid w:val="0083076B"/>
    <w:rsid w:val="0083086D"/>
    <w:rsid w:val="00830977"/>
    <w:rsid w:val="00831BC3"/>
    <w:rsid w:val="00831D08"/>
    <w:rsid w:val="00832100"/>
    <w:rsid w:val="008322D0"/>
    <w:rsid w:val="008326DD"/>
    <w:rsid w:val="00832776"/>
    <w:rsid w:val="008328AF"/>
    <w:rsid w:val="008328D4"/>
    <w:rsid w:val="008330FF"/>
    <w:rsid w:val="00833728"/>
    <w:rsid w:val="00834A42"/>
    <w:rsid w:val="00835615"/>
    <w:rsid w:val="008357EE"/>
    <w:rsid w:val="00835E58"/>
    <w:rsid w:val="0083614F"/>
    <w:rsid w:val="008365DD"/>
    <w:rsid w:val="0083672C"/>
    <w:rsid w:val="00836F65"/>
    <w:rsid w:val="008373F6"/>
    <w:rsid w:val="008374F6"/>
    <w:rsid w:val="008375AF"/>
    <w:rsid w:val="00837963"/>
    <w:rsid w:val="008379F7"/>
    <w:rsid w:val="00837FC1"/>
    <w:rsid w:val="00840537"/>
    <w:rsid w:val="00840E9B"/>
    <w:rsid w:val="00840ECE"/>
    <w:rsid w:val="00841084"/>
    <w:rsid w:val="00841577"/>
    <w:rsid w:val="008415A7"/>
    <w:rsid w:val="0084185C"/>
    <w:rsid w:val="00841B31"/>
    <w:rsid w:val="00841B6B"/>
    <w:rsid w:val="00842165"/>
    <w:rsid w:val="008423A3"/>
    <w:rsid w:val="00842B44"/>
    <w:rsid w:val="00843171"/>
    <w:rsid w:val="0084335E"/>
    <w:rsid w:val="008438AA"/>
    <w:rsid w:val="008438C7"/>
    <w:rsid w:val="0084391D"/>
    <w:rsid w:val="00844383"/>
    <w:rsid w:val="008446DE"/>
    <w:rsid w:val="00844978"/>
    <w:rsid w:val="00844F67"/>
    <w:rsid w:val="00845A7E"/>
    <w:rsid w:val="00845E9C"/>
    <w:rsid w:val="008466F5"/>
    <w:rsid w:val="00846ADE"/>
    <w:rsid w:val="00846C23"/>
    <w:rsid w:val="00846CDD"/>
    <w:rsid w:val="00846F8E"/>
    <w:rsid w:val="0084779B"/>
    <w:rsid w:val="008477AE"/>
    <w:rsid w:val="0085028E"/>
    <w:rsid w:val="00850376"/>
    <w:rsid w:val="00850630"/>
    <w:rsid w:val="008507FF"/>
    <w:rsid w:val="0085112E"/>
    <w:rsid w:val="008516FD"/>
    <w:rsid w:val="00851A04"/>
    <w:rsid w:val="00851F17"/>
    <w:rsid w:val="0085296E"/>
    <w:rsid w:val="00852C66"/>
    <w:rsid w:val="0085336C"/>
    <w:rsid w:val="00854016"/>
    <w:rsid w:val="00854101"/>
    <w:rsid w:val="0085425E"/>
    <w:rsid w:val="00854292"/>
    <w:rsid w:val="008544F0"/>
    <w:rsid w:val="00854DE7"/>
    <w:rsid w:val="00854E53"/>
    <w:rsid w:val="008550E8"/>
    <w:rsid w:val="0085524C"/>
    <w:rsid w:val="00855770"/>
    <w:rsid w:val="0085626A"/>
    <w:rsid w:val="00856451"/>
    <w:rsid w:val="00856864"/>
    <w:rsid w:val="00857909"/>
    <w:rsid w:val="00857E59"/>
    <w:rsid w:val="00860573"/>
    <w:rsid w:val="008608A2"/>
    <w:rsid w:val="008610AD"/>
    <w:rsid w:val="00861294"/>
    <w:rsid w:val="008612F3"/>
    <w:rsid w:val="008619F7"/>
    <w:rsid w:val="00861A07"/>
    <w:rsid w:val="00861B89"/>
    <w:rsid w:val="00862205"/>
    <w:rsid w:val="00862430"/>
    <w:rsid w:val="008625C1"/>
    <w:rsid w:val="0086278D"/>
    <w:rsid w:val="008636DF"/>
    <w:rsid w:val="00863732"/>
    <w:rsid w:val="00863945"/>
    <w:rsid w:val="00863E24"/>
    <w:rsid w:val="0086407D"/>
    <w:rsid w:val="008642F6"/>
    <w:rsid w:val="008659A5"/>
    <w:rsid w:val="00866A5C"/>
    <w:rsid w:val="00866C38"/>
    <w:rsid w:val="00866D1F"/>
    <w:rsid w:val="008678D2"/>
    <w:rsid w:val="00867D0B"/>
    <w:rsid w:val="008707A4"/>
    <w:rsid w:val="00870D4E"/>
    <w:rsid w:val="00870D86"/>
    <w:rsid w:val="0087182E"/>
    <w:rsid w:val="0087194F"/>
    <w:rsid w:val="00871A63"/>
    <w:rsid w:val="00871A98"/>
    <w:rsid w:val="00871EE5"/>
    <w:rsid w:val="0087267E"/>
    <w:rsid w:val="00872CF8"/>
    <w:rsid w:val="00873048"/>
    <w:rsid w:val="008732C4"/>
    <w:rsid w:val="0087354A"/>
    <w:rsid w:val="008743F8"/>
    <w:rsid w:val="008752CA"/>
    <w:rsid w:val="00876B82"/>
    <w:rsid w:val="00876C0C"/>
    <w:rsid w:val="00876D10"/>
    <w:rsid w:val="008804E9"/>
    <w:rsid w:val="008804F8"/>
    <w:rsid w:val="00880D24"/>
    <w:rsid w:val="00880F69"/>
    <w:rsid w:val="0088145B"/>
    <w:rsid w:val="008816E4"/>
    <w:rsid w:val="00881CEF"/>
    <w:rsid w:val="00881E04"/>
    <w:rsid w:val="00881F7B"/>
    <w:rsid w:val="008821E6"/>
    <w:rsid w:val="008824C6"/>
    <w:rsid w:val="0088321F"/>
    <w:rsid w:val="00883AAF"/>
    <w:rsid w:val="00883E7A"/>
    <w:rsid w:val="00884DEC"/>
    <w:rsid w:val="00884EC6"/>
    <w:rsid w:val="0088522B"/>
    <w:rsid w:val="00885E34"/>
    <w:rsid w:val="0088648A"/>
    <w:rsid w:val="00887496"/>
    <w:rsid w:val="00887DAF"/>
    <w:rsid w:val="00887E45"/>
    <w:rsid w:val="00887E68"/>
    <w:rsid w:val="00890012"/>
    <w:rsid w:val="00891BD6"/>
    <w:rsid w:val="00891BF4"/>
    <w:rsid w:val="00892307"/>
    <w:rsid w:val="00892583"/>
    <w:rsid w:val="008927B9"/>
    <w:rsid w:val="0089323A"/>
    <w:rsid w:val="0089369F"/>
    <w:rsid w:val="008936B1"/>
    <w:rsid w:val="008939ED"/>
    <w:rsid w:val="00893A9E"/>
    <w:rsid w:val="00893F85"/>
    <w:rsid w:val="00894526"/>
    <w:rsid w:val="0089517B"/>
    <w:rsid w:val="00895B28"/>
    <w:rsid w:val="00895E61"/>
    <w:rsid w:val="008968C4"/>
    <w:rsid w:val="008969AC"/>
    <w:rsid w:val="00896B1E"/>
    <w:rsid w:val="00896B5A"/>
    <w:rsid w:val="00897203"/>
    <w:rsid w:val="008973BF"/>
    <w:rsid w:val="008A0C7C"/>
    <w:rsid w:val="008A13E7"/>
    <w:rsid w:val="008A156D"/>
    <w:rsid w:val="008A168A"/>
    <w:rsid w:val="008A1B37"/>
    <w:rsid w:val="008A26A9"/>
    <w:rsid w:val="008A2C58"/>
    <w:rsid w:val="008A2F53"/>
    <w:rsid w:val="008A4649"/>
    <w:rsid w:val="008A49F8"/>
    <w:rsid w:val="008A4D16"/>
    <w:rsid w:val="008A4EFF"/>
    <w:rsid w:val="008A5D79"/>
    <w:rsid w:val="008A5FFB"/>
    <w:rsid w:val="008A64A3"/>
    <w:rsid w:val="008A6C37"/>
    <w:rsid w:val="008A6D16"/>
    <w:rsid w:val="008A7842"/>
    <w:rsid w:val="008A7F31"/>
    <w:rsid w:val="008B07D0"/>
    <w:rsid w:val="008B0C5E"/>
    <w:rsid w:val="008B14F3"/>
    <w:rsid w:val="008B17F4"/>
    <w:rsid w:val="008B1868"/>
    <w:rsid w:val="008B275F"/>
    <w:rsid w:val="008B2783"/>
    <w:rsid w:val="008B27A5"/>
    <w:rsid w:val="008B2D79"/>
    <w:rsid w:val="008B3170"/>
    <w:rsid w:val="008B3438"/>
    <w:rsid w:val="008B344E"/>
    <w:rsid w:val="008B3AD3"/>
    <w:rsid w:val="008B4069"/>
    <w:rsid w:val="008B4171"/>
    <w:rsid w:val="008B4313"/>
    <w:rsid w:val="008B446B"/>
    <w:rsid w:val="008B4A4F"/>
    <w:rsid w:val="008B5439"/>
    <w:rsid w:val="008B5757"/>
    <w:rsid w:val="008B58D8"/>
    <w:rsid w:val="008B5E1F"/>
    <w:rsid w:val="008B616A"/>
    <w:rsid w:val="008B6BEA"/>
    <w:rsid w:val="008B737E"/>
    <w:rsid w:val="008B79B6"/>
    <w:rsid w:val="008B7F1E"/>
    <w:rsid w:val="008C03B7"/>
    <w:rsid w:val="008C04B8"/>
    <w:rsid w:val="008C0CD6"/>
    <w:rsid w:val="008C123E"/>
    <w:rsid w:val="008C12AB"/>
    <w:rsid w:val="008C149C"/>
    <w:rsid w:val="008C252B"/>
    <w:rsid w:val="008C2A1D"/>
    <w:rsid w:val="008C2AD8"/>
    <w:rsid w:val="008C336F"/>
    <w:rsid w:val="008C3508"/>
    <w:rsid w:val="008C37B1"/>
    <w:rsid w:val="008C3CD8"/>
    <w:rsid w:val="008C4483"/>
    <w:rsid w:val="008C5593"/>
    <w:rsid w:val="008C628D"/>
    <w:rsid w:val="008C67AA"/>
    <w:rsid w:val="008C686D"/>
    <w:rsid w:val="008C6F71"/>
    <w:rsid w:val="008C7692"/>
    <w:rsid w:val="008C7B29"/>
    <w:rsid w:val="008D00DB"/>
    <w:rsid w:val="008D0822"/>
    <w:rsid w:val="008D0BF1"/>
    <w:rsid w:val="008D1829"/>
    <w:rsid w:val="008D24BF"/>
    <w:rsid w:val="008D316F"/>
    <w:rsid w:val="008D31BF"/>
    <w:rsid w:val="008D3ADE"/>
    <w:rsid w:val="008D4F76"/>
    <w:rsid w:val="008D5C40"/>
    <w:rsid w:val="008D5D22"/>
    <w:rsid w:val="008D5DAA"/>
    <w:rsid w:val="008D5EB9"/>
    <w:rsid w:val="008D6639"/>
    <w:rsid w:val="008D6FC9"/>
    <w:rsid w:val="008D703E"/>
    <w:rsid w:val="008D727A"/>
    <w:rsid w:val="008D779C"/>
    <w:rsid w:val="008D7E3D"/>
    <w:rsid w:val="008E0704"/>
    <w:rsid w:val="008E089E"/>
    <w:rsid w:val="008E0AA9"/>
    <w:rsid w:val="008E0AEE"/>
    <w:rsid w:val="008E0C88"/>
    <w:rsid w:val="008E161F"/>
    <w:rsid w:val="008E22C8"/>
    <w:rsid w:val="008E29B1"/>
    <w:rsid w:val="008E2D51"/>
    <w:rsid w:val="008E2DC3"/>
    <w:rsid w:val="008E3CC0"/>
    <w:rsid w:val="008E3F92"/>
    <w:rsid w:val="008E4ABE"/>
    <w:rsid w:val="008E4B92"/>
    <w:rsid w:val="008E5E26"/>
    <w:rsid w:val="008F0C6C"/>
    <w:rsid w:val="008F0C7F"/>
    <w:rsid w:val="008F125A"/>
    <w:rsid w:val="008F1595"/>
    <w:rsid w:val="008F18CC"/>
    <w:rsid w:val="008F1E64"/>
    <w:rsid w:val="008F21C4"/>
    <w:rsid w:val="008F230A"/>
    <w:rsid w:val="008F2EB2"/>
    <w:rsid w:val="008F3106"/>
    <w:rsid w:val="008F3C6D"/>
    <w:rsid w:val="008F3D6C"/>
    <w:rsid w:val="008F3F43"/>
    <w:rsid w:val="008F4686"/>
    <w:rsid w:val="008F4A63"/>
    <w:rsid w:val="008F5236"/>
    <w:rsid w:val="008F5362"/>
    <w:rsid w:val="008F54E0"/>
    <w:rsid w:val="008F555D"/>
    <w:rsid w:val="008F5819"/>
    <w:rsid w:val="008F5BF8"/>
    <w:rsid w:val="008F5EA7"/>
    <w:rsid w:val="008F5EBC"/>
    <w:rsid w:val="008F6038"/>
    <w:rsid w:val="008F702B"/>
    <w:rsid w:val="008F7342"/>
    <w:rsid w:val="008F7639"/>
    <w:rsid w:val="008F7A6E"/>
    <w:rsid w:val="008F7DE9"/>
    <w:rsid w:val="00900462"/>
    <w:rsid w:val="00900F9F"/>
    <w:rsid w:val="00900FCF"/>
    <w:rsid w:val="00901295"/>
    <w:rsid w:val="009016F8"/>
    <w:rsid w:val="0090198D"/>
    <w:rsid w:val="00901BBF"/>
    <w:rsid w:val="00901C1F"/>
    <w:rsid w:val="00901CCC"/>
    <w:rsid w:val="009020F6"/>
    <w:rsid w:val="00902594"/>
    <w:rsid w:val="009030D6"/>
    <w:rsid w:val="009031BA"/>
    <w:rsid w:val="0090358E"/>
    <w:rsid w:val="009035B5"/>
    <w:rsid w:val="0090373F"/>
    <w:rsid w:val="00903C10"/>
    <w:rsid w:val="0090441B"/>
    <w:rsid w:val="00904522"/>
    <w:rsid w:val="009057E5"/>
    <w:rsid w:val="00905BC8"/>
    <w:rsid w:val="00906CAA"/>
    <w:rsid w:val="00907878"/>
    <w:rsid w:val="00907D14"/>
    <w:rsid w:val="00907DD0"/>
    <w:rsid w:val="00907F92"/>
    <w:rsid w:val="00907FDA"/>
    <w:rsid w:val="0091078E"/>
    <w:rsid w:val="00911245"/>
    <w:rsid w:val="009114C5"/>
    <w:rsid w:val="009120AB"/>
    <w:rsid w:val="009122A3"/>
    <w:rsid w:val="00912E2A"/>
    <w:rsid w:val="00912E7A"/>
    <w:rsid w:val="0091355A"/>
    <w:rsid w:val="00913AB1"/>
    <w:rsid w:val="00913D34"/>
    <w:rsid w:val="00913D96"/>
    <w:rsid w:val="00913FDD"/>
    <w:rsid w:val="009144E9"/>
    <w:rsid w:val="0091451D"/>
    <w:rsid w:val="009149C3"/>
    <w:rsid w:val="00914EBE"/>
    <w:rsid w:val="009155B6"/>
    <w:rsid w:val="0091575E"/>
    <w:rsid w:val="009159BC"/>
    <w:rsid w:val="00915F3C"/>
    <w:rsid w:val="00916233"/>
    <w:rsid w:val="00916811"/>
    <w:rsid w:val="00916C9D"/>
    <w:rsid w:val="0091719B"/>
    <w:rsid w:val="00917712"/>
    <w:rsid w:val="0091790C"/>
    <w:rsid w:val="00917B20"/>
    <w:rsid w:val="00920247"/>
    <w:rsid w:val="00920B72"/>
    <w:rsid w:val="0092110D"/>
    <w:rsid w:val="00922437"/>
    <w:rsid w:val="009224A8"/>
    <w:rsid w:val="009224C5"/>
    <w:rsid w:val="00922674"/>
    <w:rsid w:val="00922836"/>
    <w:rsid w:val="009230E3"/>
    <w:rsid w:val="009230F3"/>
    <w:rsid w:val="00923ABE"/>
    <w:rsid w:val="00923EF7"/>
    <w:rsid w:val="0092579C"/>
    <w:rsid w:val="009258DD"/>
    <w:rsid w:val="00925BCF"/>
    <w:rsid w:val="00925F01"/>
    <w:rsid w:val="00925F7A"/>
    <w:rsid w:val="009262CB"/>
    <w:rsid w:val="00926576"/>
    <w:rsid w:val="00926C05"/>
    <w:rsid w:val="00926E39"/>
    <w:rsid w:val="009270BE"/>
    <w:rsid w:val="009271D4"/>
    <w:rsid w:val="00927964"/>
    <w:rsid w:val="009307A7"/>
    <w:rsid w:val="00930C64"/>
    <w:rsid w:val="00930F62"/>
    <w:rsid w:val="0093189C"/>
    <w:rsid w:val="009320F8"/>
    <w:rsid w:val="00932410"/>
    <w:rsid w:val="00932732"/>
    <w:rsid w:val="0093306F"/>
    <w:rsid w:val="0093334E"/>
    <w:rsid w:val="00933372"/>
    <w:rsid w:val="00933A4C"/>
    <w:rsid w:val="00934283"/>
    <w:rsid w:val="00934347"/>
    <w:rsid w:val="00934358"/>
    <w:rsid w:val="0093489A"/>
    <w:rsid w:val="00934FAA"/>
    <w:rsid w:val="0093528F"/>
    <w:rsid w:val="009357FA"/>
    <w:rsid w:val="00940027"/>
    <w:rsid w:val="00940258"/>
    <w:rsid w:val="009402AE"/>
    <w:rsid w:val="00940B07"/>
    <w:rsid w:val="00940F6E"/>
    <w:rsid w:val="00941FBD"/>
    <w:rsid w:val="00942651"/>
    <w:rsid w:val="00942F8F"/>
    <w:rsid w:val="0094323F"/>
    <w:rsid w:val="0094384D"/>
    <w:rsid w:val="0094385E"/>
    <w:rsid w:val="00943D4A"/>
    <w:rsid w:val="00943E51"/>
    <w:rsid w:val="00944638"/>
    <w:rsid w:val="009447D6"/>
    <w:rsid w:val="009449CA"/>
    <w:rsid w:val="00944DA2"/>
    <w:rsid w:val="0094508C"/>
    <w:rsid w:val="009461EB"/>
    <w:rsid w:val="0094624E"/>
    <w:rsid w:val="009467DD"/>
    <w:rsid w:val="00946E23"/>
    <w:rsid w:val="00947AB2"/>
    <w:rsid w:val="00947C05"/>
    <w:rsid w:val="00947C35"/>
    <w:rsid w:val="00947F12"/>
    <w:rsid w:val="00950631"/>
    <w:rsid w:val="009509EC"/>
    <w:rsid w:val="00950AB6"/>
    <w:rsid w:val="009510A4"/>
    <w:rsid w:val="00951CA8"/>
    <w:rsid w:val="0095253F"/>
    <w:rsid w:val="009526E2"/>
    <w:rsid w:val="0095374A"/>
    <w:rsid w:val="0095388C"/>
    <w:rsid w:val="00953B3D"/>
    <w:rsid w:val="009542B9"/>
    <w:rsid w:val="009548EE"/>
    <w:rsid w:val="00954987"/>
    <w:rsid w:val="00954DDE"/>
    <w:rsid w:val="00954F81"/>
    <w:rsid w:val="00955A5B"/>
    <w:rsid w:val="00955DF7"/>
    <w:rsid w:val="00956AD2"/>
    <w:rsid w:val="0095700B"/>
    <w:rsid w:val="00957942"/>
    <w:rsid w:val="00957B20"/>
    <w:rsid w:val="00957BD7"/>
    <w:rsid w:val="0096093B"/>
    <w:rsid w:val="009609C8"/>
    <w:rsid w:val="0096150A"/>
    <w:rsid w:val="00961A5B"/>
    <w:rsid w:val="0096222F"/>
    <w:rsid w:val="009623D1"/>
    <w:rsid w:val="009623D8"/>
    <w:rsid w:val="009625C8"/>
    <w:rsid w:val="0096260F"/>
    <w:rsid w:val="00962EB8"/>
    <w:rsid w:val="0096338A"/>
    <w:rsid w:val="00963A42"/>
    <w:rsid w:val="00963B64"/>
    <w:rsid w:val="00963D1D"/>
    <w:rsid w:val="00964301"/>
    <w:rsid w:val="009645ED"/>
    <w:rsid w:val="00964759"/>
    <w:rsid w:val="00964F63"/>
    <w:rsid w:val="00965C56"/>
    <w:rsid w:val="009660F1"/>
    <w:rsid w:val="009670B3"/>
    <w:rsid w:val="00967127"/>
    <w:rsid w:val="009672D6"/>
    <w:rsid w:val="009675AC"/>
    <w:rsid w:val="009679D9"/>
    <w:rsid w:val="00967E87"/>
    <w:rsid w:val="00970073"/>
    <w:rsid w:val="0097059C"/>
    <w:rsid w:val="00970706"/>
    <w:rsid w:val="00970761"/>
    <w:rsid w:val="00970E68"/>
    <w:rsid w:val="00971438"/>
    <w:rsid w:val="00971A89"/>
    <w:rsid w:val="00972187"/>
    <w:rsid w:val="009727EF"/>
    <w:rsid w:val="00973F53"/>
    <w:rsid w:val="00974915"/>
    <w:rsid w:val="00974CB0"/>
    <w:rsid w:val="00974FBD"/>
    <w:rsid w:val="00976C1B"/>
    <w:rsid w:val="0097705F"/>
    <w:rsid w:val="009772E7"/>
    <w:rsid w:val="009801A7"/>
    <w:rsid w:val="00980EB3"/>
    <w:rsid w:val="00980F60"/>
    <w:rsid w:val="009811D5"/>
    <w:rsid w:val="0098183D"/>
    <w:rsid w:val="00981C0C"/>
    <w:rsid w:val="00981D48"/>
    <w:rsid w:val="00981E0A"/>
    <w:rsid w:val="00982428"/>
    <w:rsid w:val="00982CF2"/>
    <w:rsid w:val="00984612"/>
    <w:rsid w:val="00984A98"/>
    <w:rsid w:val="00984E08"/>
    <w:rsid w:val="00985025"/>
    <w:rsid w:val="0098519C"/>
    <w:rsid w:val="00985E8C"/>
    <w:rsid w:val="00986354"/>
    <w:rsid w:val="00987581"/>
    <w:rsid w:val="00987701"/>
    <w:rsid w:val="00987727"/>
    <w:rsid w:val="00987787"/>
    <w:rsid w:val="00987D16"/>
    <w:rsid w:val="0099023A"/>
    <w:rsid w:val="0099052C"/>
    <w:rsid w:val="009905F0"/>
    <w:rsid w:val="00990ACA"/>
    <w:rsid w:val="00990B3A"/>
    <w:rsid w:val="00991EF1"/>
    <w:rsid w:val="00991F7A"/>
    <w:rsid w:val="00992458"/>
    <w:rsid w:val="00992634"/>
    <w:rsid w:val="00993147"/>
    <w:rsid w:val="00993314"/>
    <w:rsid w:val="009935A6"/>
    <w:rsid w:val="009939D1"/>
    <w:rsid w:val="00993AF8"/>
    <w:rsid w:val="00993CA1"/>
    <w:rsid w:val="00994230"/>
    <w:rsid w:val="0099436E"/>
    <w:rsid w:val="009949A0"/>
    <w:rsid w:val="00995161"/>
    <w:rsid w:val="0099529E"/>
    <w:rsid w:val="00995C1F"/>
    <w:rsid w:val="00996191"/>
    <w:rsid w:val="0099625D"/>
    <w:rsid w:val="009966B6"/>
    <w:rsid w:val="00996BD8"/>
    <w:rsid w:val="00996D94"/>
    <w:rsid w:val="009977ED"/>
    <w:rsid w:val="009A00F7"/>
    <w:rsid w:val="009A03FB"/>
    <w:rsid w:val="009A07E0"/>
    <w:rsid w:val="009A0849"/>
    <w:rsid w:val="009A0913"/>
    <w:rsid w:val="009A0D0E"/>
    <w:rsid w:val="009A1185"/>
    <w:rsid w:val="009A15FA"/>
    <w:rsid w:val="009A1670"/>
    <w:rsid w:val="009A1B13"/>
    <w:rsid w:val="009A25D3"/>
    <w:rsid w:val="009A33C4"/>
    <w:rsid w:val="009A34D6"/>
    <w:rsid w:val="009A3976"/>
    <w:rsid w:val="009A422A"/>
    <w:rsid w:val="009A45B5"/>
    <w:rsid w:val="009A4C2F"/>
    <w:rsid w:val="009A4E38"/>
    <w:rsid w:val="009A523F"/>
    <w:rsid w:val="009A5435"/>
    <w:rsid w:val="009A5DFC"/>
    <w:rsid w:val="009A60E5"/>
    <w:rsid w:val="009A6398"/>
    <w:rsid w:val="009A6C6D"/>
    <w:rsid w:val="009A710C"/>
    <w:rsid w:val="009A78DA"/>
    <w:rsid w:val="009B0296"/>
    <w:rsid w:val="009B0B9C"/>
    <w:rsid w:val="009B1225"/>
    <w:rsid w:val="009B12B1"/>
    <w:rsid w:val="009B16C4"/>
    <w:rsid w:val="009B17F6"/>
    <w:rsid w:val="009B19C1"/>
    <w:rsid w:val="009B1B9C"/>
    <w:rsid w:val="009B2438"/>
    <w:rsid w:val="009B252D"/>
    <w:rsid w:val="009B3A97"/>
    <w:rsid w:val="009B4F91"/>
    <w:rsid w:val="009B509E"/>
    <w:rsid w:val="009B5DCE"/>
    <w:rsid w:val="009B5F7E"/>
    <w:rsid w:val="009B6022"/>
    <w:rsid w:val="009B614D"/>
    <w:rsid w:val="009B61DB"/>
    <w:rsid w:val="009B6914"/>
    <w:rsid w:val="009B69B3"/>
    <w:rsid w:val="009B6ACF"/>
    <w:rsid w:val="009B710A"/>
    <w:rsid w:val="009B7275"/>
    <w:rsid w:val="009B77C0"/>
    <w:rsid w:val="009B7B3E"/>
    <w:rsid w:val="009B7D81"/>
    <w:rsid w:val="009C054B"/>
    <w:rsid w:val="009C0B33"/>
    <w:rsid w:val="009C0FFC"/>
    <w:rsid w:val="009C15A7"/>
    <w:rsid w:val="009C15DD"/>
    <w:rsid w:val="009C19C8"/>
    <w:rsid w:val="009C215C"/>
    <w:rsid w:val="009C2298"/>
    <w:rsid w:val="009C2AF2"/>
    <w:rsid w:val="009C3170"/>
    <w:rsid w:val="009C3203"/>
    <w:rsid w:val="009C355C"/>
    <w:rsid w:val="009C3A84"/>
    <w:rsid w:val="009C4BA2"/>
    <w:rsid w:val="009C4F42"/>
    <w:rsid w:val="009C4F7E"/>
    <w:rsid w:val="009C5005"/>
    <w:rsid w:val="009C5740"/>
    <w:rsid w:val="009D06BE"/>
    <w:rsid w:val="009D2482"/>
    <w:rsid w:val="009D25AE"/>
    <w:rsid w:val="009D39BD"/>
    <w:rsid w:val="009D47BB"/>
    <w:rsid w:val="009D47FE"/>
    <w:rsid w:val="009D4CD6"/>
    <w:rsid w:val="009D5433"/>
    <w:rsid w:val="009D5624"/>
    <w:rsid w:val="009D5FF5"/>
    <w:rsid w:val="009D6401"/>
    <w:rsid w:val="009D66FC"/>
    <w:rsid w:val="009D6A29"/>
    <w:rsid w:val="009D6C04"/>
    <w:rsid w:val="009D6E90"/>
    <w:rsid w:val="009D768B"/>
    <w:rsid w:val="009D7696"/>
    <w:rsid w:val="009D7B23"/>
    <w:rsid w:val="009E1FE9"/>
    <w:rsid w:val="009E226E"/>
    <w:rsid w:val="009E2370"/>
    <w:rsid w:val="009E284B"/>
    <w:rsid w:val="009E302A"/>
    <w:rsid w:val="009E323E"/>
    <w:rsid w:val="009E370B"/>
    <w:rsid w:val="009E3B8B"/>
    <w:rsid w:val="009E3EAA"/>
    <w:rsid w:val="009E50AD"/>
    <w:rsid w:val="009E515D"/>
    <w:rsid w:val="009E540D"/>
    <w:rsid w:val="009E55C1"/>
    <w:rsid w:val="009E64FE"/>
    <w:rsid w:val="009E677D"/>
    <w:rsid w:val="009E68A9"/>
    <w:rsid w:val="009E6B7D"/>
    <w:rsid w:val="009E7922"/>
    <w:rsid w:val="009E7C66"/>
    <w:rsid w:val="009F0082"/>
    <w:rsid w:val="009F087C"/>
    <w:rsid w:val="009F1F76"/>
    <w:rsid w:val="009F2178"/>
    <w:rsid w:val="009F21DD"/>
    <w:rsid w:val="009F286F"/>
    <w:rsid w:val="009F31EE"/>
    <w:rsid w:val="009F37A1"/>
    <w:rsid w:val="009F388E"/>
    <w:rsid w:val="009F4080"/>
    <w:rsid w:val="009F4612"/>
    <w:rsid w:val="009F48BC"/>
    <w:rsid w:val="009F530C"/>
    <w:rsid w:val="009F5CD1"/>
    <w:rsid w:val="009F62B6"/>
    <w:rsid w:val="009F6D9F"/>
    <w:rsid w:val="009F6FFF"/>
    <w:rsid w:val="009F73A5"/>
    <w:rsid w:val="00A0023B"/>
    <w:rsid w:val="00A0059B"/>
    <w:rsid w:val="00A007B3"/>
    <w:rsid w:val="00A00947"/>
    <w:rsid w:val="00A00C0A"/>
    <w:rsid w:val="00A0124F"/>
    <w:rsid w:val="00A01774"/>
    <w:rsid w:val="00A017B3"/>
    <w:rsid w:val="00A020EA"/>
    <w:rsid w:val="00A0278D"/>
    <w:rsid w:val="00A03129"/>
    <w:rsid w:val="00A0333D"/>
    <w:rsid w:val="00A038A7"/>
    <w:rsid w:val="00A03BD5"/>
    <w:rsid w:val="00A04041"/>
    <w:rsid w:val="00A04B8A"/>
    <w:rsid w:val="00A04BF3"/>
    <w:rsid w:val="00A051D8"/>
    <w:rsid w:val="00A05521"/>
    <w:rsid w:val="00A05A30"/>
    <w:rsid w:val="00A068B9"/>
    <w:rsid w:val="00A06F48"/>
    <w:rsid w:val="00A077F9"/>
    <w:rsid w:val="00A1049B"/>
    <w:rsid w:val="00A108D3"/>
    <w:rsid w:val="00A10ED8"/>
    <w:rsid w:val="00A115E1"/>
    <w:rsid w:val="00A116DD"/>
    <w:rsid w:val="00A11924"/>
    <w:rsid w:val="00A11D45"/>
    <w:rsid w:val="00A1271C"/>
    <w:rsid w:val="00A12AD7"/>
    <w:rsid w:val="00A132A9"/>
    <w:rsid w:val="00A1394D"/>
    <w:rsid w:val="00A1429E"/>
    <w:rsid w:val="00A148BA"/>
    <w:rsid w:val="00A14D1A"/>
    <w:rsid w:val="00A14D9E"/>
    <w:rsid w:val="00A151D4"/>
    <w:rsid w:val="00A15229"/>
    <w:rsid w:val="00A15D46"/>
    <w:rsid w:val="00A164C7"/>
    <w:rsid w:val="00A16825"/>
    <w:rsid w:val="00A16D67"/>
    <w:rsid w:val="00A17252"/>
    <w:rsid w:val="00A176BB"/>
    <w:rsid w:val="00A17D5E"/>
    <w:rsid w:val="00A201D0"/>
    <w:rsid w:val="00A20386"/>
    <w:rsid w:val="00A20BB0"/>
    <w:rsid w:val="00A20D8A"/>
    <w:rsid w:val="00A215D3"/>
    <w:rsid w:val="00A21623"/>
    <w:rsid w:val="00A21642"/>
    <w:rsid w:val="00A21A34"/>
    <w:rsid w:val="00A21CE5"/>
    <w:rsid w:val="00A21E8A"/>
    <w:rsid w:val="00A22106"/>
    <w:rsid w:val="00A22451"/>
    <w:rsid w:val="00A2407B"/>
    <w:rsid w:val="00A251FB"/>
    <w:rsid w:val="00A25385"/>
    <w:rsid w:val="00A25509"/>
    <w:rsid w:val="00A259E1"/>
    <w:rsid w:val="00A25EFA"/>
    <w:rsid w:val="00A25F69"/>
    <w:rsid w:val="00A25FAC"/>
    <w:rsid w:val="00A25FC8"/>
    <w:rsid w:val="00A271B8"/>
    <w:rsid w:val="00A271D0"/>
    <w:rsid w:val="00A271F5"/>
    <w:rsid w:val="00A2773C"/>
    <w:rsid w:val="00A27CDD"/>
    <w:rsid w:val="00A27D93"/>
    <w:rsid w:val="00A27F67"/>
    <w:rsid w:val="00A30874"/>
    <w:rsid w:val="00A3286D"/>
    <w:rsid w:val="00A335DC"/>
    <w:rsid w:val="00A33716"/>
    <w:rsid w:val="00A33FC7"/>
    <w:rsid w:val="00A342DD"/>
    <w:rsid w:val="00A344F9"/>
    <w:rsid w:val="00A359F5"/>
    <w:rsid w:val="00A361D4"/>
    <w:rsid w:val="00A37113"/>
    <w:rsid w:val="00A37176"/>
    <w:rsid w:val="00A40708"/>
    <w:rsid w:val="00A40A03"/>
    <w:rsid w:val="00A4100C"/>
    <w:rsid w:val="00A4178A"/>
    <w:rsid w:val="00A41863"/>
    <w:rsid w:val="00A41A35"/>
    <w:rsid w:val="00A41F67"/>
    <w:rsid w:val="00A42515"/>
    <w:rsid w:val="00A428D7"/>
    <w:rsid w:val="00A428DB"/>
    <w:rsid w:val="00A4307A"/>
    <w:rsid w:val="00A430D3"/>
    <w:rsid w:val="00A4352C"/>
    <w:rsid w:val="00A43D78"/>
    <w:rsid w:val="00A4402A"/>
    <w:rsid w:val="00A44A40"/>
    <w:rsid w:val="00A45076"/>
    <w:rsid w:val="00A4525D"/>
    <w:rsid w:val="00A4534A"/>
    <w:rsid w:val="00A4565E"/>
    <w:rsid w:val="00A45B7E"/>
    <w:rsid w:val="00A45CE8"/>
    <w:rsid w:val="00A46739"/>
    <w:rsid w:val="00A46938"/>
    <w:rsid w:val="00A47132"/>
    <w:rsid w:val="00A47FBF"/>
    <w:rsid w:val="00A50946"/>
    <w:rsid w:val="00A50BA6"/>
    <w:rsid w:val="00A50F5C"/>
    <w:rsid w:val="00A5123F"/>
    <w:rsid w:val="00A51627"/>
    <w:rsid w:val="00A5176C"/>
    <w:rsid w:val="00A51923"/>
    <w:rsid w:val="00A52FAC"/>
    <w:rsid w:val="00A5355B"/>
    <w:rsid w:val="00A53CCD"/>
    <w:rsid w:val="00A53D0F"/>
    <w:rsid w:val="00A5487B"/>
    <w:rsid w:val="00A55730"/>
    <w:rsid w:val="00A55C25"/>
    <w:rsid w:val="00A55EEA"/>
    <w:rsid w:val="00A5644E"/>
    <w:rsid w:val="00A5690C"/>
    <w:rsid w:val="00A5697D"/>
    <w:rsid w:val="00A56AAA"/>
    <w:rsid w:val="00A56F29"/>
    <w:rsid w:val="00A57023"/>
    <w:rsid w:val="00A570E8"/>
    <w:rsid w:val="00A573AA"/>
    <w:rsid w:val="00A57638"/>
    <w:rsid w:val="00A577B5"/>
    <w:rsid w:val="00A57CC1"/>
    <w:rsid w:val="00A60152"/>
    <w:rsid w:val="00A60832"/>
    <w:rsid w:val="00A60B8D"/>
    <w:rsid w:val="00A60BAE"/>
    <w:rsid w:val="00A61062"/>
    <w:rsid w:val="00A6125E"/>
    <w:rsid w:val="00A61810"/>
    <w:rsid w:val="00A62021"/>
    <w:rsid w:val="00A620FE"/>
    <w:rsid w:val="00A623E5"/>
    <w:rsid w:val="00A633BF"/>
    <w:rsid w:val="00A636E7"/>
    <w:rsid w:val="00A6394F"/>
    <w:rsid w:val="00A63AB6"/>
    <w:rsid w:val="00A63B9D"/>
    <w:rsid w:val="00A63C85"/>
    <w:rsid w:val="00A63CCA"/>
    <w:rsid w:val="00A63EE9"/>
    <w:rsid w:val="00A648D6"/>
    <w:rsid w:val="00A649D1"/>
    <w:rsid w:val="00A651E8"/>
    <w:rsid w:val="00A653E1"/>
    <w:rsid w:val="00A654CD"/>
    <w:rsid w:val="00A65A8D"/>
    <w:rsid w:val="00A661E6"/>
    <w:rsid w:val="00A6635D"/>
    <w:rsid w:val="00A66596"/>
    <w:rsid w:val="00A66BCC"/>
    <w:rsid w:val="00A670B3"/>
    <w:rsid w:val="00A67806"/>
    <w:rsid w:val="00A67BA9"/>
    <w:rsid w:val="00A67DA2"/>
    <w:rsid w:val="00A702F7"/>
    <w:rsid w:val="00A70681"/>
    <w:rsid w:val="00A70B56"/>
    <w:rsid w:val="00A70D37"/>
    <w:rsid w:val="00A70F24"/>
    <w:rsid w:val="00A71D34"/>
    <w:rsid w:val="00A723D4"/>
    <w:rsid w:val="00A72666"/>
    <w:rsid w:val="00A72F14"/>
    <w:rsid w:val="00A73374"/>
    <w:rsid w:val="00A739C8"/>
    <w:rsid w:val="00A744EF"/>
    <w:rsid w:val="00A748BF"/>
    <w:rsid w:val="00A75617"/>
    <w:rsid w:val="00A7599E"/>
    <w:rsid w:val="00A75BBA"/>
    <w:rsid w:val="00A75C34"/>
    <w:rsid w:val="00A761D8"/>
    <w:rsid w:val="00A777FC"/>
    <w:rsid w:val="00A77A86"/>
    <w:rsid w:val="00A802A7"/>
    <w:rsid w:val="00A804D7"/>
    <w:rsid w:val="00A80E8F"/>
    <w:rsid w:val="00A81451"/>
    <w:rsid w:val="00A81540"/>
    <w:rsid w:val="00A81596"/>
    <w:rsid w:val="00A81750"/>
    <w:rsid w:val="00A81845"/>
    <w:rsid w:val="00A81C4A"/>
    <w:rsid w:val="00A81D84"/>
    <w:rsid w:val="00A81E72"/>
    <w:rsid w:val="00A8219C"/>
    <w:rsid w:val="00A82944"/>
    <w:rsid w:val="00A82D34"/>
    <w:rsid w:val="00A82E26"/>
    <w:rsid w:val="00A82FC0"/>
    <w:rsid w:val="00A8312A"/>
    <w:rsid w:val="00A8338E"/>
    <w:rsid w:val="00A83405"/>
    <w:rsid w:val="00A8347C"/>
    <w:rsid w:val="00A834DA"/>
    <w:rsid w:val="00A83791"/>
    <w:rsid w:val="00A83B42"/>
    <w:rsid w:val="00A84011"/>
    <w:rsid w:val="00A8470F"/>
    <w:rsid w:val="00A84A9D"/>
    <w:rsid w:val="00A84CFB"/>
    <w:rsid w:val="00A8557B"/>
    <w:rsid w:val="00A855AD"/>
    <w:rsid w:val="00A85689"/>
    <w:rsid w:val="00A8652D"/>
    <w:rsid w:val="00A87862"/>
    <w:rsid w:val="00A907A4"/>
    <w:rsid w:val="00A907C0"/>
    <w:rsid w:val="00A9146B"/>
    <w:rsid w:val="00A9173A"/>
    <w:rsid w:val="00A92238"/>
    <w:rsid w:val="00A924CB"/>
    <w:rsid w:val="00A924D6"/>
    <w:rsid w:val="00A92AA3"/>
    <w:rsid w:val="00A92F64"/>
    <w:rsid w:val="00A9321C"/>
    <w:rsid w:val="00A9349F"/>
    <w:rsid w:val="00A94716"/>
    <w:rsid w:val="00A94945"/>
    <w:rsid w:val="00A94A66"/>
    <w:rsid w:val="00A94B7B"/>
    <w:rsid w:val="00A94EA1"/>
    <w:rsid w:val="00A95B6D"/>
    <w:rsid w:val="00A95D5C"/>
    <w:rsid w:val="00A96068"/>
    <w:rsid w:val="00A96626"/>
    <w:rsid w:val="00A9747A"/>
    <w:rsid w:val="00A97581"/>
    <w:rsid w:val="00A97663"/>
    <w:rsid w:val="00A978F9"/>
    <w:rsid w:val="00AA065A"/>
    <w:rsid w:val="00AA0733"/>
    <w:rsid w:val="00AA07AF"/>
    <w:rsid w:val="00AA0C72"/>
    <w:rsid w:val="00AA1329"/>
    <w:rsid w:val="00AA2113"/>
    <w:rsid w:val="00AA21DE"/>
    <w:rsid w:val="00AA26C3"/>
    <w:rsid w:val="00AA2C65"/>
    <w:rsid w:val="00AA2EED"/>
    <w:rsid w:val="00AA2FA7"/>
    <w:rsid w:val="00AA32C3"/>
    <w:rsid w:val="00AA3433"/>
    <w:rsid w:val="00AA41E9"/>
    <w:rsid w:val="00AA4840"/>
    <w:rsid w:val="00AA4A2D"/>
    <w:rsid w:val="00AA4B31"/>
    <w:rsid w:val="00AA4D8E"/>
    <w:rsid w:val="00AA53A0"/>
    <w:rsid w:val="00AA556E"/>
    <w:rsid w:val="00AA56BB"/>
    <w:rsid w:val="00AA5ACC"/>
    <w:rsid w:val="00AA65D3"/>
    <w:rsid w:val="00AA66A1"/>
    <w:rsid w:val="00AA7AFE"/>
    <w:rsid w:val="00AB0073"/>
    <w:rsid w:val="00AB064E"/>
    <w:rsid w:val="00AB0A79"/>
    <w:rsid w:val="00AB0A8F"/>
    <w:rsid w:val="00AB0BF1"/>
    <w:rsid w:val="00AB0D8C"/>
    <w:rsid w:val="00AB13E9"/>
    <w:rsid w:val="00AB156B"/>
    <w:rsid w:val="00AB1A83"/>
    <w:rsid w:val="00AB1B59"/>
    <w:rsid w:val="00AB2105"/>
    <w:rsid w:val="00AB2ECD"/>
    <w:rsid w:val="00AB36C5"/>
    <w:rsid w:val="00AB3EBD"/>
    <w:rsid w:val="00AB48A3"/>
    <w:rsid w:val="00AB4F6D"/>
    <w:rsid w:val="00AB539E"/>
    <w:rsid w:val="00AB5622"/>
    <w:rsid w:val="00AB5D26"/>
    <w:rsid w:val="00AB60FB"/>
    <w:rsid w:val="00AB66E1"/>
    <w:rsid w:val="00AB671A"/>
    <w:rsid w:val="00AB6DF4"/>
    <w:rsid w:val="00AB714D"/>
    <w:rsid w:val="00AB74CA"/>
    <w:rsid w:val="00AB7508"/>
    <w:rsid w:val="00AB76EE"/>
    <w:rsid w:val="00AB790C"/>
    <w:rsid w:val="00AB793D"/>
    <w:rsid w:val="00AB7BD5"/>
    <w:rsid w:val="00AC0113"/>
    <w:rsid w:val="00AC0260"/>
    <w:rsid w:val="00AC039C"/>
    <w:rsid w:val="00AC0F4B"/>
    <w:rsid w:val="00AC1C97"/>
    <w:rsid w:val="00AC1DF5"/>
    <w:rsid w:val="00AC2326"/>
    <w:rsid w:val="00AC258C"/>
    <w:rsid w:val="00AC2950"/>
    <w:rsid w:val="00AC298A"/>
    <w:rsid w:val="00AC2B6C"/>
    <w:rsid w:val="00AC3152"/>
    <w:rsid w:val="00AC3A30"/>
    <w:rsid w:val="00AC3B64"/>
    <w:rsid w:val="00AC4861"/>
    <w:rsid w:val="00AC5094"/>
    <w:rsid w:val="00AC5244"/>
    <w:rsid w:val="00AC530A"/>
    <w:rsid w:val="00AC58D9"/>
    <w:rsid w:val="00AC5D7E"/>
    <w:rsid w:val="00AC61BB"/>
    <w:rsid w:val="00AC69E3"/>
    <w:rsid w:val="00AC758B"/>
    <w:rsid w:val="00AD028C"/>
    <w:rsid w:val="00AD06BC"/>
    <w:rsid w:val="00AD0A42"/>
    <w:rsid w:val="00AD1486"/>
    <w:rsid w:val="00AD1DA2"/>
    <w:rsid w:val="00AD28C9"/>
    <w:rsid w:val="00AD328B"/>
    <w:rsid w:val="00AD33F8"/>
    <w:rsid w:val="00AD3E5B"/>
    <w:rsid w:val="00AD43F8"/>
    <w:rsid w:val="00AD442A"/>
    <w:rsid w:val="00AD4452"/>
    <w:rsid w:val="00AD4CC4"/>
    <w:rsid w:val="00AD5719"/>
    <w:rsid w:val="00AD5EFB"/>
    <w:rsid w:val="00AD64B7"/>
    <w:rsid w:val="00AD6C74"/>
    <w:rsid w:val="00AD6F3D"/>
    <w:rsid w:val="00AD78F5"/>
    <w:rsid w:val="00AD78F8"/>
    <w:rsid w:val="00AD7997"/>
    <w:rsid w:val="00AE0DD4"/>
    <w:rsid w:val="00AE125A"/>
    <w:rsid w:val="00AE13A2"/>
    <w:rsid w:val="00AE19BA"/>
    <w:rsid w:val="00AE27F9"/>
    <w:rsid w:val="00AE2846"/>
    <w:rsid w:val="00AE35D3"/>
    <w:rsid w:val="00AE40E7"/>
    <w:rsid w:val="00AE42C9"/>
    <w:rsid w:val="00AE4310"/>
    <w:rsid w:val="00AE4494"/>
    <w:rsid w:val="00AE4A8D"/>
    <w:rsid w:val="00AE4B0C"/>
    <w:rsid w:val="00AE56F0"/>
    <w:rsid w:val="00AE5869"/>
    <w:rsid w:val="00AE5E64"/>
    <w:rsid w:val="00AE6A2B"/>
    <w:rsid w:val="00AE6BDB"/>
    <w:rsid w:val="00AE6DDC"/>
    <w:rsid w:val="00AE6F19"/>
    <w:rsid w:val="00AE7939"/>
    <w:rsid w:val="00AE7A62"/>
    <w:rsid w:val="00AF0242"/>
    <w:rsid w:val="00AF0D6D"/>
    <w:rsid w:val="00AF16FB"/>
    <w:rsid w:val="00AF1A68"/>
    <w:rsid w:val="00AF252D"/>
    <w:rsid w:val="00AF2639"/>
    <w:rsid w:val="00AF30B3"/>
    <w:rsid w:val="00AF3135"/>
    <w:rsid w:val="00AF37CA"/>
    <w:rsid w:val="00AF3F56"/>
    <w:rsid w:val="00AF422D"/>
    <w:rsid w:val="00AF4745"/>
    <w:rsid w:val="00AF4ADD"/>
    <w:rsid w:val="00AF4CCF"/>
    <w:rsid w:val="00AF4FFB"/>
    <w:rsid w:val="00AF5139"/>
    <w:rsid w:val="00AF6FCE"/>
    <w:rsid w:val="00AF716A"/>
    <w:rsid w:val="00AF7499"/>
    <w:rsid w:val="00AF79DE"/>
    <w:rsid w:val="00AF7CD4"/>
    <w:rsid w:val="00AF7DF4"/>
    <w:rsid w:val="00B0042F"/>
    <w:rsid w:val="00B0065B"/>
    <w:rsid w:val="00B00E1D"/>
    <w:rsid w:val="00B012E3"/>
    <w:rsid w:val="00B0249C"/>
    <w:rsid w:val="00B027E2"/>
    <w:rsid w:val="00B03449"/>
    <w:rsid w:val="00B035AC"/>
    <w:rsid w:val="00B05627"/>
    <w:rsid w:val="00B05BCD"/>
    <w:rsid w:val="00B05D12"/>
    <w:rsid w:val="00B05D3A"/>
    <w:rsid w:val="00B06102"/>
    <w:rsid w:val="00B0639B"/>
    <w:rsid w:val="00B06C78"/>
    <w:rsid w:val="00B06C9D"/>
    <w:rsid w:val="00B06CF8"/>
    <w:rsid w:val="00B0744E"/>
    <w:rsid w:val="00B0767E"/>
    <w:rsid w:val="00B07DFC"/>
    <w:rsid w:val="00B100FE"/>
    <w:rsid w:val="00B110BA"/>
    <w:rsid w:val="00B11345"/>
    <w:rsid w:val="00B11539"/>
    <w:rsid w:val="00B115A5"/>
    <w:rsid w:val="00B11B81"/>
    <w:rsid w:val="00B1235B"/>
    <w:rsid w:val="00B12644"/>
    <w:rsid w:val="00B126AB"/>
    <w:rsid w:val="00B12A26"/>
    <w:rsid w:val="00B12CE8"/>
    <w:rsid w:val="00B13DC3"/>
    <w:rsid w:val="00B13FA3"/>
    <w:rsid w:val="00B140A8"/>
    <w:rsid w:val="00B142A2"/>
    <w:rsid w:val="00B146ED"/>
    <w:rsid w:val="00B1486C"/>
    <w:rsid w:val="00B14E02"/>
    <w:rsid w:val="00B14F21"/>
    <w:rsid w:val="00B1565F"/>
    <w:rsid w:val="00B15D34"/>
    <w:rsid w:val="00B172DD"/>
    <w:rsid w:val="00B176B7"/>
    <w:rsid w:val="00B17E48"/>
    <w:rsid w:val="00B2032B"/>
    <w:rsid w:val="00B203C2"/>
    <w:rsid w:val="00B21A2F"/>
    <w:rsid w:val="00B21A60"/>
    <w:rsid w:val="00B21F7D"/>
    <w:rsid w:val="00B221EC"/>
    <w:rsid w:val="00B223F6"/>
    <w:rsid w:val="00B2252A"/>
    <w:rsid w:val="00B227E2"/>
    <w:rsid w:val="00B22A09"/>
    <w:rsid w:val="00B22A7F"/>
    <w:rsid w:val="00B22B93"/>
    <w:rsid w:val="00B23600"/>
    <w:rsid w:val="00B2378F"/>
    <w:rsid w:val="00B23A53"/>
    <w:rsid w:val="00B23C75"/>
    <w:rsid w:val="00B2434D"/>
    <w:rsid w:val="00B24466"/>
    <w:rsid w:val="00B24957"/>
    <w:rsid w:val="00B249CB"/>
    <w:rsid w:val="00B24FE0"/>
    <w:rsid w:val="00B2535E"/>
    <w:rsid w:val="00B2538F"/>
    <w:rsid w:val="00B25612"/>
    <w:rsid w:val="00B25732"/>
    <w:rsid w:val="00B25E39"/>
    <w:rsid w:val="00B26361"/>
    <w:rsid w:val="00B26387"/>
    <w:rsid w:val="00B26638"/>
    <w:rsid w:val="00B266A0"/>
    <w:rsid w:val="00B2677E"/>
    <w:rsid w:val="00B26A06"/>
    <w:rsid w:val="00B26A41"/>
    <w:rsid w:val="00B26B7D"/>
    <w:rsid w:val="00B27650"/>
    <w:rsid w:val="00B27CF0"/>
    <w:rsid w:val="00B304F6"/>
    <w:rsid w:val="00B3088A"/>
    <w:rsid w:val="00B3114B"/>
    <w:rsid w:val="00B31EB0"/>
    <w:rsid w:val="00B31F7D"/>
    <w:rsid w:val="00B320DF"/>
    <w:rsid w:val="00B32BA2"/>
    <w:rsid w:val="00B32CB5"/>
    <w:rsid w:val="00B32D97"/>
    <w:rsid w:val="00B32F8E"/>
    <w:rsid w:val="00B3326A"/>
    <w:rsid w:val="00B3353E"/>
    <w:rsid w:val="00B337AD"/>
    <w:rsid w:val="00B33853"/>
    <w:rsid w:val="00B33B54"/>
    <w:rsid w:val="00B33B5B"/>
    <w:rsid w:val="00B33E94"/>
    <w:rsid w:val="00B34C51"/>
    <w:rsid w:val="00B3547D"/>
    <w:rsid w:val="00B35527"/>
    <w:rsid w:val="00B358C7"/>
    <w:rsid w:val="00B35F75"/>
    <w:rsid w:val="00B36BAA"/>
    <w:rsid w:val="00B37C12"/>
    <w:rsid w:val="00B40792"/>
    <w:rsid w:val="00B410F2"/>
    <w:rsid w:val="00B42BD5"/>
    <w:rsid w:val="00B436DB"/>
    <w:rsid w:val="00B437EC"/>
    <w:rsid w:val="00B44091"/>
    <w:rsid w:val="00B44132"/>
    <w:rsid w:val="00B44238"/>
    <w:rsid w:val="00B446A6"/>
    <w:rsid w:val="00B448B9"/>
    <w:rsid w:val="00B44C8B"/>
    <w:rsid w:val="00B45749"/>
    <w:rsid w:val="00B459B5"/>
    <w:rsid w:val="00B45BA1"/>
    <w:rsid w:val="00B45C19"/>
    <w:rsid w:val="00B4642A"/>
    <w:rsid w:val="00B4643B"/>
    <w:rsid w:val="00B465E5"/>
    <w:rsid w:val="00B46662"/>
    <w:rsid w:val="00B46763"/>
    <w:rsid w:val="00B46C96"/>
    <w:rsid w:val="00B471FE"/>
    <w:rsid w:val="00B47A2A"/>
    <w:rsid w:val="00B47E23"/>
    <w:rsid w:val="00B47F61"/>
    <w:rsid w:val="00B50357"/>
    <w:rsid w:val="00B5084A"/>
    <w:rsid w:val="00B50B1E"/>
    <w:rsid w:val="00B50DD4"/>
    <w:rsid w:val="00B51111"/>
    <w:rsid w:val="00B51187"/>
    <w:rsid w:val="00B512EE"/>
    <w:rsid w:val="00B51576"/>
    <w:rsid w:val="00B52457"/>
    <w:rsid w:val="00B5258D"/>
    <w:rsid w:val="00B52631"/>
    <w:rsid w:val="00B526BD"/>
    <w:rsid w:val="00B5311C"/>
    <w:rsid w:val="00B533F5"/>
    <w:rsid w:val="00B53611"/>
    <w:rsid w:val="00B536B9"/>
    <w:rsid w:val="00B53808"/>
    <w:rsid w:val="00B54367"/>
    <w:rsid w:val="00B5497C"/>
    <w:rsid w:val="00B54ED3"/>
    <w:rsid w:val="00B55603"/>
    <w:rsid w:val="00B55B55"/>
    <w:rsid w:val="00B55BD6"/>
    <w:rsid w:val="00B5611E"/>
    <w:rsid w:val="00B56AC4"/>
    <w:rsid w:val="00B57877"/>
    <w:rsid w:val="00B57D0A"/>
    <w:rsid w:val="00B607DF"/>
    <w:rsid w:val="00B6106D"/>
    <w:rsid w:val="00B6149B"/>
    <w:rsid w:val="00B62683"/>
    <w:rsid w:val="00B626DE"/>
    <w:rsid w:val="00B62A31"/>
    <w:rsid w:val="00B63A9B"/>
    <w:rsid w:val="00B647A7"/>
    <w:rsid w:val="00B64B6D"/>
    <w:rsid w:val="00B64D6B"/>
    <w:rsid w:val="00B65780"/>
    <w:rsid w:val="00B65D8F"/>
    <w:rsid w:val="00B66039"/>
    <w:rsid w:val="00B67069"/>
    <w:rsid w:val="00B67776"/>
    <w:rsid w:val="00B67E0E"/>
    <w:rsid w:val="00B700B7"/>
    <w:rsid w:val="00B7035A"/>
    <w:rsid w:val="00B70A92"/>
    <w:rsid w:val="00B70CD5"/>
    <w:rsid w:val="00B71A1B"/>
    <w:rsid w:val="00B730A1"/>
    <w:rsid w:val="00B7354B"/>
    <w:rsid w:val="00B73584"/>
    <w:rsid w:val="00B738AA"/>
    <w:rsid w:val="00B73E65"/>
    <w:rsid w:val="00B7416F"/>
    <w:rsid w:val="00B7418D"/>
    <w:rsid w:val="00B75A41"/>
    <w:rsid w:val="00B75ABA"/>
    <w:rsid w:val="00B75DC1"/>
    <w:rsid w:val="00B76B83"/>
    <w:rsid w:val="00B77435"/>
    <w:rsid w:val="00B777F6"/>
    <w:rsid w:val="00B80745"/>
    <w:rsid w:val="00B8085A"/>
    <w:rsid w:val="00B8178F"/>
    <w:rsid w:val="00B8179E"/>
    <w:rsid w:val="00B81941"/>
    <w:rsid w:val="00B81985"/>
    <w:rsid w:val="00B81DE7"/>
    <w:rsid w:val="00B844BA"/>
    <w:rsid w:val="00B848FD"/>
    <w:rsid w:val="00B8583B"/>
    <w:rsid w:val="00B85E01"/>
    <w:rsid w:val="00B86074"/>
    <w:rsid w:val="00B861E4"/>
    <w:rsid w:val="00B8623E"/>
    <w:rsid w:val="00B86606"/>
    <w:rsid w:val="00B867BB"/>
    <w:rsid w:val="00B869AB"/>
    <w:rsid w:val="00B86ECB"/>
    <w:rsid w:val="00B86F9C"/>
    <w:rsid w:val="00B87687"/>
    <w:rsid w:val="00B876E6"/>
    <w:rsid w:val="00B87A1D"/>
    <w:rsid w:val="00B87E8B"/>
    <w:rsid w:val="00B87FFC"/>
    <w:rsid w:val="00B90CE9"/>
    <w:rsid w:val="00B911CB"/>
    <w:rsid w:val="00B911EA"/>
    <w:rsid w:val="00B916BE"/>
    <w:rsid w:val="00B921C8"/>
    <w:rsid w:val="00B922A9"/>
    <w:rsid w:val="00B92623"/>
    <w:rsid w:val="00B92984"/>
    <w:rsid w:val="00B92B00"/>
    <w:rsid w:val="00B934D0"/>
    <w:rsid w:val="00B934F6"/>
    <w:rsid w:val="00B93525"/>
    <w:rsid w:val="00B93841"/>
    <w:rsid w:val="00B94D80"/>
    <w:rsid w:val="00B9521A"/>
    <w:rsid w:val="00B952EB"/>
    <w:rsid w:val="00B95530"/>
    <w:rsid w:val="00B9568C"/>
    <w:rsid w:val="00B95874"/>
    <w:rsid w:val="00B95F06"/>
    <w:rsid w:val="00B9640F"/>
    <w:rsid w:val="00B9652E"/>
    <w:rsid w:val="00B96E60"/>
    <w:rsid w:val="00B97201"/>
    <w:rsid w:val="00B97B9E"/>
    <w:rsid w:val="00B97BAB"/>
    <w:rsid w:val="00B97CC5"/>
    <w:rsid w:val="00BA02E6"/>
    <w:rsid w:val="00BA0E32"/>
    <w:rsid w:val="00BA10A4"/>
    <w:rsid w:val="00BA13C3"/>
    <w:rsid w:val="00BA1478"/>
    <w:rsid w:val="00BA1596"/>
    <w:rsid w:val="00BA16C8"/>
    <w:rsid w:val="00BA2192"/>
    <w:rsid w:val="00BA2B32"/>
    <w:rsid w:val="00BA3608"/>
    <w:rsid w:val="00BA384E"/>
    <w:rsid w:val="00BA39F1"/>
    <w:rsid w:val="00BA3A48"/>
    <w:rsid w:val="00BA3B58"/>
    <w:rsid w:val="00BA3CD3"/>
    <w:rsid w:val="00BA49A3"/>
    <w:rsid w:val="00BA4A22"/>
    <w:rsid w:val="00BA51A2"/>
    <w:rsid w:val="00BA52A0"/>
    <w:rsid w:val="00BA5475"/>
    <w:rsid w:val="00BA6304"/>
    <w:rsid w:val="00BA702D"/>
    <w:rsid w:val="00BA763A"/>
    <w:rsid w:val="00BA7783"/>
    <w:rsid w:val="00BA79FE"/>
    <w:rsid w:val="00BA7F03"/>
    <w:rsid w:val="00BB023B"/>
    <w:rsid w:val="00BB0855"/>
    <w:rsid w:val="00BB1946"/>
    <w:rsid w:val="00BB214F"/>
    <w:rsid w:val="00BB21AB"/>
    <w:rsid w:val="00BB22F5"/>
    <w:rsid w:val="00BB26B6"/>
    <w:rsid w:val="00BB4976"/>
    <w:rsid w:val="00BB497B"/>
    <w:rsid w:val="00BB5039"/>
    <w:rsid w:val="00BB57AC"/>
    <w:rsid w:val="00BB5A79"/>
    <w:rsid w:val="00BB5C4E"/>
    <w:rsid w:val="00BB61CB"/>
    <w:rsid w:val="00BB6779"/>
    <w:rsid w:val="00BB690A"/>
    <w:rsid w:val="00BB69F7"/>
    <w:rsid w:val="00BB6BA2"/>
    <w:rsid w:val="00BB765C"/>
    <w:rsid w:val="00BB7BE7"/>
    <w:rsid w:val="00BB7DBF"/>
    <w:rsid w:val="00BC0A22"/>
    <w:rsid w:val="00BC0AFA"/>
    <w:rsid w:val="00BC0D98"/>
    <w:rsid w:val="00BC2237"/>
    <w:rsid w:val="00BC264C"/>
    <w:rsid w:val="00BC338E"/>
    <w:rsid w:val="00BC3F90"/>
    <w:rsid w:val="00BC4F7F"/>
    <w:rsid w:val="00BC59F1"/>
    <w:rsid w:val="00BC5AB4"/>
    <w:rsid w:val="00BC65B3"/>
    <w:rsid w:val="00BC67CF"/>
    <w:rsid w:val="00BC6D3D"/>
    <w:rsid w:val="00BC71AB"/>
    <w:rsid w:val="00BC73A5"/>
    <w:rsid w:val="00BC7EA1"/>
    <w:rsid w:val="00BD0367"/>
    <w:rsid w:val="00BD04CF"/>
    <w:rsid w:val="00BD11D7"/>
    <w:rsid w:val="00BD11E7"/>
    <w:rsid w:val="00BD1B7A"/>
    <w:rsid w:val="00BD1CBD"/>
    <w:rsid w:val="00BD1F25"/>
    <w:rsid w:val="00BD3657"/>
    <w:rsid w:val="00BD3941"/>
    <w:rsid w:val="00BD3FE6"/>
    <w:rsid w:val="00BD447D"/>
    <w:rsid w:val="00BD4A7A"/>
    <w:rsid w:val="00BD52F9"/>
    <w:rsid w:val="00BD58F3"/>
    <w:rsid w:val="00BD5EB5"/>
    <w:rsid w:val="00BD607F"/>
    <w:rsid w:val="00BD6B13"/>
    <w:rsid w:val="00BD72DC"/>
    <w:rsid w:val="00BD7AB9"/>
    <w:rsid w:val="00BD7DA8"/>
    <w:rsid w:val="00BE0B59"/>
    <w:rsid w:val="00BE1A8F"/>
    <w:rsid w:val="00BE1B65"/>
    <w:rsid w:val="00BE2CC2"/>
    <w:rsid w:val="00BE32AB"/>
    <w:rsid w:val="00BE3813"/>
    <w:rsid w:val="00BE452C"/>
    <w:rsid w:val="00BE4796"/>
    <w:rsid w:val="00BE51EE"/>
    <w:rsid w:val="00BE5839"/>
    <w:rsid w:val="00BE59A6"/>
    <w:rsid w:val="00BE5F0E"/>
    <w:rsid w:val="00BE6B0E"/>
    <w:rsid w:val="00BF01E1"/>
    <w:rsid w:val="00BF057D"/>
    <w:rsid w:val="00BF1745"/>
    <w:rsid w:val="00BF1B03"/>
    <w:rsid w:val="00BF269C"/>
    <w:rsid w:val="00BF2727"/>
    <w:rsid w:val="00BF2CD0"/>
    <w:rsid w:val="00BF3031"/>
    <w:rsid w:val="00BF30B3"/>
    <w:rsid w:val="00BF32F2"/>
    <w:rsid w:val="00BF35EF"/>
    <w:rsid w:val="00BF3737"/>
    <w:rsid w:val="00BF37BD"/>
    <w:rsid w:val="00BF3BA4"/>
    <w:rsid w:val="00BF3DF5"/>
    <w:rsid w:val="00BF4781"/>
    <w:rsid w:val="00BF4F4D"/>
    <w:rsid w:val="00BF5260"/>
    <w:rsid w:val="00BF5F9C"/>
    <w:rsid w:val="00BF6397"/>
    <w:rsid w:val="00BF7324"/>
    <w:rsid w:val="00BF7810"/>
    <w:rsid w:val="00C00503"/>
    <w:rsid w:val="00C00F0B"/>
    <w:rsid w:val="00C01EE7"/>
    <w:rsid w:val="00C02012"/>
    <w:rsid w:val="00C02C38"/>
    <w:rsid w:val="00C02CD0"/>
    <w:rsid w:val="00C0301F"/>
    <w:rsid w:val="00C04403"/>
    <w:rsid w:val="00C04A03"/>
    <w:rsid w:val="00C04B8B"/>
    <w:rsid w:val="00C04DC2"/>
    <w:rsid w:val="00C04E1D"/>
    <w:rsid w:val="00C05DF2"/>
    <w:rsid w:val="00C06483"/>
    <w:rsid w:val="00C0678F"/>
    <w:rsid w:val="00C072E1"/>
    <w:rsid w:val="00C07F15"/>
    <w:rsid w:val="00C07FEE"/>
    <w:rsid w:val="00C100E3"/>
    <w:rsid w:val="00C10323"/>
    <w:rsid w:val="00C1099E"/>
    <w:rsid w:val="00C10A48"/>
    <w:rsid w:val="00C10D62"/>
    <w:rsid w:val="00C10E79"/>
    <w:rsid w:val="00C11022"/>
    <w:rsid w:val="00C11276"/>
    <w:rsid w:val="00C1160C"/>
    <w:rsid w:val="00C117DB"/>
    <w:rsid w:val="00C1194B"/>
    <w:rsid w:val="00C11B53"/>
    <w:rsid w:val="00C11DD9"/>
    <w:rsid w:val="00C11F1C"/>
    <w:rsid w:val="00C1243B"/>
    <w:rsid w:val="00C127BA"/>
    <w:rsid w:val="00C128D7"/>
    <w:rsid w:val="00C12D53"/>
    <w:rsid w:val="00C12E38"/>
    <w:rsid w:val="00C13221"/>
    <w:rsid w:val="00C13384"/>
    <w:rsid w:val="00C138D0"/>
    <w:rsid w:val="00C13901"/>
    <w:rsid w:val="00C13A30"/>
    <w:rsid w:val="00C14872"/>
    <w:rsid w:val="00C14B7B"/>
    <w:rsid w:val="00C14DF4"/>
    <w:rsid w:val="00C15596"/>
    <w:rsid w:val="00C15753"/>
    <w:rsid w:val="00C161B9"/>
    <w:rsid w:val="00C1650D"/>
    <w:rsid w:val="00C16952"/>
    <w:rsid w:val="00C16E9C"/>
    <w:rsid w:val="00C16F33"/>
    <w:rsid w:val="00C17803"/>
    <w:rsid w:val="00C17A8A"/>
    <w:rsid w:val="00C17C9B"/>
    <w:rsid w:val="00C20E3B"/>
    <w:rsid w:val="00C214F4"/>
    <w:rsid w:val="00C21661"/>
    <w:rsid w:val="00C21799"/>
    <w:rsid w:val="00C21AC7"/>
    <w:rsid w:val="00C21C68"/>
    <w:rsid w:val="00C223F5"/>
    <w:rsid w:val="00C22BB2"/>
    <w:rsid w:val="00C2467F"/>
    <w:rsid w:val="00C24ACD"/>
    <w:rsid w:val="00C2535A"/>
    <w:rsid w:val="00C25953"/>
    <w:rsid w:val="00C25F7C"/>
    <w:rsid w:val="00C260A5"/>
    <w:rsid w:val="00C26138"/>
    <w:rsid w:val="00C2675A"/>
    <w:rsid w:val="00C26D2A"/>
    <w:rsid w:val="00C26E81"/>
    <w:rsid w:val="00C276DE"/>
    <w:rsid w:val="00C3059B"/>
    <w:rsid w:val="00C308D0"/>
    <w:rsid w:val="00C30A24"/>
    <w:rsid w:val="00C30FE7"/>
    <w:rsid w:val="00C31306"/>
    <w:rsid w:val="00C3157C"/>
    <w:rsid w:val="00C3172D"/>
    <w:rsid w:val="00C3182E"/>
    <w:rsid w:val="00C31C39"/>
    <w:rsid w:val="00C32B43"/>
    <w:rsid w:val="00C33683"/>
    <w:rsid w:val="00C34043"/>
    <w:rsid w:val="00C343E6"/>
    <w:rsid w:val="00C344C2"/>
    <w:rsid w:val="00C34BDE"/>
    <w:rsid w:val="00C34C9B"/>
    <w:rsid w:val="00C35FFA"/>
    <w:rsid w:val="00C365A2"/>
    <w:rsid w:val="00C365D6"/>
    <w:rsid w:val="00C3679A"/>
    <w:rsid w:val="00C36E01"/>
    <w:rsid w:val="00C36E18"/>
    <w:rsid w:val="00C370C9"/>
    <w:rsid w:val="00C372A2"/>
    <w:rsid w:val="00C37B00"/>
    <w:rsid w:val="00C4017E"/>
    <w:rsid w:val="00C401F4"/>
    <w:rsid w:val="00C40368"/>
    <w:rsid w:val="00C40559"/>
    <w:rsid w:val="00C405FD"/>
    <w:rsid w:val="00C40E80"/>
    <w:rsid w:val="00C4136F"/>
    <w:rsid w:val="00C41E7C"/>
    <w:rsid w:val="00C421A7"/>
    <w:rsid w:val="00C42281"/>
    <w:rsid w:val="00C422B1"/>
    <w:rsid w:val="00C42D41"/>
    <w:rsid w:val="00C43634"/>
    <w:rsid w:val="00C43811"/>
    <w:rsid w:val="00C43F21"/>
    <w:rsid w:val="00C45D61"/>
    <w:rsid w:val="00C464DF"/>
    <w:rsid w:val="00C46570"/>
    <w:rsid w:val="00C4659D"/>
    <w:rsid w:val="00C46B16"/>
    <w:rsid w:val="00C46D15"/>
    <w:rsid w:val="00C470FD"/>
    <w:rsid w:val="00C47865"/>
    <w:rsid w:val="00C47D95"/>
    <w:rsid w:val="00C47DD3"/>
    <w:rsid w:val="00C506C8"/>
    <w:rsid w:val="00C50BB2"/>
    <w:rsid w:val="00C512AB"/>
    <w:rsid w:val="00C514AB"/>
    <w:rsid w:val="00C51B71"/>
    <w:rsid w:val="00C51F6D"/>
    <w:rsid w:val="00C521E4"/>
    <w:rsid w:val="00C522BA"/>
    <w:rsid w:val="00C52590"/>
    <w:rsid w:val="00C52F37"/>
    <w:rsid w:val="00C52FE2"/>
    <w:rsid w:val="00C53999"/>
    <w:rsid w:val="00C53EDA"/>
    <w:rsid w:val="00C53F44"/>
    <w:rsid w:val="00C54460"/>
    <w:rsid w:val="00C54900"/>
    <w:rsid w:val="00C54F6E"/>
    <w:rsid w:val="00C55C3B"/>
    <w:rsid w:val="00C561E8"/>
    <w:rsid w:val="00C56220"/>
    <w:rsid w:val="00C56699"/>
    <w:rsid w:val="00C56771"/>
    <w:rsid w:val="00C56A02"/>
    <w:rsid w:val="00C56D43"/>
    <w:rsid w:val="00C57161"/>
    <w:rsid w:val="00C571BD"/>
    <w:rsid w:val="00C572EC"/>
    <w:rsid w:val="00C57654"/>
    <w:rsid w:val="00C57C49"/>
    <w:rsid w:val="00C60132"/>
    <w:rsid w:val="00C60826"/>
    <w:rsid w:val="00C60927"/>
    <w:rsid w:val="00C60C34"/>
    <w:rsid w:val="00C61762"/>
    <w:rsid w:val="00C61C57"/>
    <w:rsid w:val="00C61F5C"/>
    <w:rsid w:val="00C622D8"/>
    <w:rsid w:val="00C62536"/>
    <w:rsid w:val="00C62632"/>
    <w:rsid w:val="00C62B53"/>
    <w:rsid w:val="00C639A6"/>
    <w:rsid w:val="00C64016"/>
    <w:rsid w:val="00C640D6"/>
    <w:rsid w:val="00C64222"/>
    <w:rsid w:val="00C64759"/>
    <w:rsid w:val="00C64FA0"/>
    <w:rsid w:val="00C65A95"/>
    <w:rsid w:val="00C65B22"/>
    <w:rsid w:val="00C66432"/>
    <w:rsid w:val="00C669D2"/>
    <w:rsid w:val="00C66B41"/>
    <w:rsid w:val="00C6724B"/>
    <w:rsid w:val="00C67B23"/>
    <w:rsid w:val="00C70184"/>
    <w:rsid w:val="00C7063F"/>
    <w:rsid w:val="00C706A6"/>
    <w:rsid w:val="00C70AE0"/>
    <w:rsid w:val="00C70CBB"/>
    <w:rsid w:val="00C714BB"/>
    <w:rsid w:val="00C71761"/>
    <w:rsid w:val="00C71E85"/>
    <w:rsid w:val="00C72B38"/>
    <w:rsid w:val="00C72D4C"/>
    <w:rsid w:val="00C72D5D"/>
    <w:rsid w:val="00C73D34"/>
    <w:rsid w:val="00C7444C"/>
    <w:rsid w:val="00C758E0"/>
    <w:rsid w:val="00C767D1"/>
    <w:rsid w:val="00C77345"/>
    <w:rsid w:val="00C77A26"/>
    <w:rsid w:val="00C800FE"/>
    <w:rsid w:val="00C8080F"/>
    <w:rsid w:val="00C80E41"/>
    <w:rsid w:val="00C81C0A"/>
    <w:rsid w:val="00C81E25"/>
    <w:rsid w:val="00C824A1"/>
    <w:rsid w:val="00C824C0"/>
    <w:rsid w:val="00C82D00"/>
    <w:rsid w:val="00C82D6D"/>
    <w:rsid w:val="00C83452"/>
    <w:rsid w:val="00C834DF"/>
    <w:rsid w:val="00C83924"/>
    <w:rsid w:val="00C84E0B"/>
    <w:rsid w:val="00C8580B"/>
    <w:rsid w:val="00C85929"/>
    <w:rsid w:val="00C85CE0"/>
    <w:rsid w:val="00C85FCA"/>
    <w:rsid w:val="00C8600A"/>
    <w:rsid w:val="00C862F8"/>
    <w:rsid w:val="00C868D8"/>
    <w:rsid w:val="00C8697E"/>
    <w:rsid w:val="00C86C62"/>
    <w:rsid w:val="00C86E67"/>
    <w:rsid w:val="00C876BB"/>
    <w:rsid w:val="00C87946"/>
    <w:rsid w:val="00C87A20"/>
    <w:rsid w:val="00C90296"/>
    <w:rsid w:val="00C90868"/>
    <w:rsid w:val="00C90C98"/>
    <w:rsid w:val="00C91EC4"/>
    <w:rsid w:val="00C91F01"/>
    <w:rsid w:val="00C9293C"/>
    <w:rsid w:val="00C9348F"/>
    <w:rsid w:val="00C94116"/>
    <w:rsid w:val="00C94145"/>
    <w:rsid w:val="00C9428B"/>
    <w:rsid w:val="00C94471"/>
    <w:rsid w:val="00C94E4C"/>
    <w:rsid w:val="00C95150"/>
    <w:rsid w:val="00C95CAA"/>
    <w:rsid w:val="00C9689D"/>
    <w:rsid w:val="00C97176"/>
    <w:rsid w:val="00CA1E46"/>
    <w:rsid w:val="00CA1FDB"/>
    <w:rsid w:val="00CA211B"/>
    <w:rsid w:val="00CA267B"/>
    <w:rsid w:val="00CA29B5"/>
    <w:rsid w:val="00CA2A73"/>
    <w:rsid w:val="00CA2F7F"/>
    <w:rsid w:val="00CA366C"/>
    <w:rsid w:val="00CA39D0"/>
    <w:rsid w:val="00CA4D0A"/>
    <w:rsid w:val="00CA4F1E"/>
    <w:rsid w:val="00CA5232"/>
    <w:rsid w:val="00CA5498"/>
    <w:rsid w:val="00CA54BC"/>
    <w:rsid w:val="00CA5611"/>
    <w:rsid w:val="00CA57F8"/>
    <w:rsid w:val="00CA6C88"/>
    <w:rsid w:val="00CA6FB3"/>
    <w:rsid w:val="00CA725C"/>
    <w:rsid w:val="00CA7763"/>
    <w:rsid w:val="00CA78ED"/>
    <w:rsid w:val="00CB0145"/>
    <w:rsid w:val="00CB0E44"/>
    <w:rsid w:val="00CB1D36"/>
    <w:rsid w:val="00CB2D4F"/>
    <w:rsid w:val="00CB304E"/>
    <w:rsid w:val="00CB3139"/>
    <w:rsid w:val="00CB3D2C"/>
    <w:rsid w:val="00CB428C"/>
    <w:rsid w:val="00CB479C"/>
    <w:rsid w:val="00CB4B25"/>
    <w:rsid w:val="00CB6476"/>
    <w:rsid w:val="00CB690F"/>
    <w:rsid w:val="00CB6CD7"/>
    <w:rsid w:val="00CB6D9E"/>
    <w:rsid w:val="00CB6E1F"/>
    <w:rsid w:val="00CB7169"/>
    <w:rsid w:val="00CB7333"/>
    <w:rsid w:val="00CB7792"/>
    <w:rsid w:val="00CB7C90"/>
    <w:rsid w:val="00CC04E2"/>
    <w:rsid w:val="00CC05EE"/>
    <w:rsid w:val="00CC0931"/>
    <w:rsid w:val="00CC0EFF"/>
    <w:rsid w:val="00CC1089"/>
    <w:rsid w:val="00CC12AE"/>
    <w:rsid w:val="00CC1338"/>
    <w:rsid w:val="00CC13EC"/>
    <w:rsid w:val="00CC13FC"/>
    <w:rsid w:val="00CC1704"/>
    <w:rsid w:val="00CC1705"/>
    <w:rsid w:val="00CC1957"/>
    <w:rsid w:val="00CC213C"/>
    <w:rsid w:val="00CC2996"/>
    <w:rsid w:val="00CC304B"/>
    <w:rsid w:val="00CC3FE7"/>
    <w:rsid w:val="00CC49BF"/>
    <w:rsid w:val="00CC4D78"/>
    <w:rsid w:val="00CC507F"/>
    <w:rsid w:val="00CC582A"/>
    <w:rsid w:val="00CC6118"/>
    <w:rsid w:val="00CC67A3"/>
    <w:rsid w:val="00CC6A96"/>
    <w:rsid w:val="00CC7243"/>
    <w:rsid w:val="00CC7803"/>
    <w:rsid w:val="00CC78D5"/>
    <w:rsid w:val="00CC793D"/>
    <w:rsid w:val="00CC7963"/>
    <w:rsid w:val="00CD0851"/>
    <w:rsid w:val="00CD094E"/>
    <w:rsid w:val="00CD0A1B"/>
    <w:rsid w:val="00CD14B6"/>
    <w:rsid w:val="00CD168F"/>
    <w:rsid w:val="00CD1A84"/>
    <w:rsid w:val="00CD2211"/>
    <w:rsid w:val="00CD2C14"/>
    <w:rsid w:val="00CD2C63"/>
    <w:rsid w:val="00CD2D3B"/>
    <w:rsid w:val="00CD2F67"/>
    <w:rsid w:val="00CD32EB"/>
    <w:rsid w:val="00CD37A3"/>
    <w:rsid w:val="00CD3B43"/>
    <w:rsid w:val="00CD3E71"/>
    <w:rsid w:val="00CD419D"/>
    <w:rsid w:val="00CD41B1"/>
    <w:rsid w:val="00CD438A"/>
    <w:rsid w:val="00CD45FA"/>
    <w:rsid w:val="00CD4728"/>
    <w:rsid w:val="00CD4C21"/>
    <w:rsid w:val="00CD538F"/>
    <w:rsid w:val="00CD57FD"/>
    <w:rsid w:val="00CD5A48"/>
    <w:rsid w:val="00CD6D3A"/>
    <w:rsid w:val="00CD7902"/>
    <w:rsid w:val="00CE0892"/>
    <w:rsid w:val="00CE1494"/>
    <w:rsid w:val="00CE1EB5"/>
    <w:rsid w:val="00CE2460"/>
    <w:rsid w:val="00CE2959"/>
    <w:rsid w:val="00CE3258"/>
    <w:rsid w:val="00CE334B"/>
    <w:rsid w:val="00CE355A"/>
    <w:rsid w:val="00CE3736"/>
    <w:rsid w:val="00CE3766"/>
    <w:rsid w:val="00CE39E5"/>
    <w:rsid w:val="00CE3C81"/>
    <w:rsid w:val="00CE4929"/>
    <w:rsid w:val="00CE4C7D"/>
    <w:rsid w:val="00CE5281"/>
    <w:rsid w:val="00CE569D"/>
    <w:rsid w:val="00CE5733"/>
    <w:rsid w:val="00CE5843"/>
    <w:rsid w:val="00CE6048"/>
    <w:rsid w:val="00CE6382"/>
    <w:rsid w:val="00CE68C7"/>
    <w:rsid w:val="00CE6B5B"/>
    <w:rsid w:val="00CE6C00"/>
    <w:rsid w:val="00CE7168"/>
    <w:rsid w:val="00CE77C6"/>
    <w:rsid w:val="00CF1164"/>
    <w:rsid w:val="00CF11AE"/>
    <w:rsid w:val="00CF16C6"/>
    <w:rsid w:val="00CF1965"/>
    <w:rsid w:val="00CF2A6D"/>
    <w:rsid w:val="00CF2A7B"/>
    <w:rsid w:val="00CF2C43"/>
    <w:rsid w:val="00CF2CE9"/>
    <w:rsid w:val="00CF2EFA"/>
    <w:rsid w:val="00CF354E"/>
    <w:rsid w:val="00CF3B0B"/>
    <w:rsid w:val="00CF3FE3"/>
    <w:rsid w:val="00CF4045"/>
    <w:rsid w:val="00CF4672"/>
    <w:rsid w:val="00CF4E71"/>
    <w:rsid w:val="00CF4F8F"/>
    <w:rsid w:val="00CF5397"/>
    <w:rsid w:val="00CF54AE"/>
    <w:rsid w:val="00CF54F4"/>
    <w:rsid w:val="00CF58A2"/>
    <w:rsid w:val="00CF60A7"/>
    <w:rsid w:val="00D00273"/>
    <w:rsid w:val="00D00779"/>
    <w:rsid w:val="00D00794"/>
    <w:rsid w:val="00D012A2"/>
    <w:rsid w:val="00D0150E"/>
    <w:rsid w:val="00D01E93"/>
    <w:rsid w:val="00D02C8F"/>
    <w:rsid w:val="00D034E5"/>
    <w:rsid w:val="00D037B6"/>
    <w:rsid w:val="00D03D04"/>
    <w:rsid w:val="00D03D53"/>
    <w:rsid w:val="00D03F63"/>
    <w:rsid w:val="00D0474A"/>
    <w:rsid w:val="00D04F41"/>
    <w:rsid w:val="00D05754"/>
    <w:rsid w:val="00D058B9"/>
    <w:rsid w:val="00D05BDA"/>
    <w:rsid w:val="00D05BFC"/>
    <w:rsid w:val="00D05D80"/>
    <w:rsid w:val="00D060C8"/>
    <w:rsid w:val="00D06163"/>
    <w:rsid w:val="00D0624E"/>
    <w:rsid w:val="00D06783"/>
    <w:rsid w:val="00D070DA"/>
    <w:rsid w:val="00D07A4C"/>
    <w:rsid w:val="00D07F4C"/>
    <w:rsid w:val="00D07F7D"/>
    <w:rsid w:val="00D1021B"/>
    <w:rsid w:val="00D1115B"/>
    <w:rsid w:val="00D117D2"/>
    <w:rsid w:val="00D11E4B"/>
    <w:rsid w:val="00D11FA0"/>
    <w:rsid w:val="00D12BA9"/>
    <w:rsid w:val="00D12D15"/>
    <w:rsid w:val="00D13916"/>
    <w:rsid w:val="00D14BF1"/>
    <w:rsid w:val="00D1549F"/>
    <w:rsid w:val="00D156D6"/>
    <w:rsid w:val="00D15855"/>
    <w:rsid w:val="00D15916"/>
    <w:rsid w:val="00D15924"/>
    <w:rsid w:val="00D15BB9"/>
    <w:rsid w:val="00D16086"/>
    <w:rsid w:val="00D17BF1"/>
    <w:rsid w:val="00D20DC1"/>
    <w:rsid w:val="00D20F3F"/>
    <w:rsid w:val="00D211EA"/>
    <w:rsid w:val="00D226CD"/>
    <w:rsid w:val="00D226E1"/>
    <w:rsid w:val="00D22F72"/>
    <w:rsid w:val="00D2383B"/>
    <w:rsid w:val="00D240AA"/>
    <w:rsid w:val="00D24701"/>
    <w:rsid w:val="00D24953"/>
    <w:rsid w:val="00D25421"/>
    <w:rsid w:val="00D25557"/>
    <w:rsid w:val="00D258B5"/>
    <w:rsid w:val="00D25E07"/>
    <w:rsid w:val="00D26943"/>
    <w:rsid w:val="00D271B1"/>
    <w:rsid w:val="00D27889"/>
    <w:rsid w:val="00D27AF7"/>
    <w:rsid w:val="00D27CD4"/>
    <w:rsid w:val="00D30107"/>
    <w:rsid w:val="00D30871"/>
    <w:rsid w:val="00D30F23"/>
    <w:rsid w:val="00D33774"/>
    <w:rsid w:val="00D33B9B"/>
    <w:rsid w:val="00D34398"/>
    <w:rsid w:val="00D353E8"/>
    <w:rsid w:val="00D3565E"/>
    <w:rsid w:val="00D3571F"/>
    <w:rsid w:val="00D358FF"/>
    <w:rsid w:val="00D35B3B"/>
    <w:rsid w:val="00D368A7"/>
    <w:rsid w:val="00D3707A"/>
    <w:rsid w:val="00D37FD2"/>
    <w:rsid w:val="00D40105"/>
    <w:rsid w:val="00D4064D"/>
    <w:rsid w:val="00D407FC"/>
    <w:rsid w:val="00D40AD7"/>
    <w:rsid w:val="00D40CCE"/>
    <w:rsid w:val="00D411FB"/>
    <w:rsid w:val="00D4130C"/>
    <w:rsid w:val="00D41519"/>
    <w:rsid w:val="00D41F40"/>
    <w:rsid w:val="00D421A1"/>
    <w:rsid w:val="00D4292A"/>
    <w:rsid w:val="00D42A51"/>
    <w:rsid w:val="00D4337D"/>
    <w:rsid w:val="00D44C7C"/>
    <w:rsid w:val="00D464CB"/>
    <w:rsid w:val="00D468B8"/>
    <w:rsid w:val="00D4696C"/>
    <w:rsid w:val="00D46CDD"/>
    <w:rsid w:val="00D5040D"/>
    <w:rsid w:val="00D50475"/>
    <w:rsid w:val="00D50630"/>
    <w:rsid w:val="00D50D26"/>
    <w:rsid w:val="00D51651"/>
    <w:rsid w:val="00D518AF"/>
    <w:rsid w:val="00D51DF1"/>
    <w:rsid w:val="00D5209C"/>
    <w:rsid w:val="00D5294A"/>
    <w:rsid w:val="00D52E62"/>
    <w:rsid w:val="00D52E6A"/>
    <w:rsid w:val="00D53236"/>
    <w:rsid w:val="00D53432"/>
    <w:rsid w:val="00D536F2"/>
    <w:rsid w:val="00D53A39"/>
    <w:rsid w:val="00D53AA5"/>
    <w:rsid w:val="00D53CA7"/>
    <w:rsid w:val="00D54201"/>
    <w:rsid w:val="00D546F8"/>
    <w:rsid w:val="00D5553E"/>
    <w:rsid w:val="00D55B90"/>
    <w:rsid w:val="00D562BE"/>
    <w:rsid w:val="00D5634C"/>
    <w:rsid w:val="00D56D0E"/>
    <w:rsid w:val="00D5701A"/>
    <w:rsid w:val="00D575D2"/>
    <w:rsid w:val="00D577B7"/>
    <w:rsid w:val="00D60278"/>
    <w:rsid w:val="00D608E2"/>
    <w:rsid w:val="00D60C76"/>
    <w:rsid w:val="00D60FE9"/>
    <w:rsid w:val="00D6194F"/>
    <w:rsid w:val="00D61F45"/>
    <w:rsid w:val="00D6297D"/>
    <w:rsid w:val="00D62AB8"/>
    <w:rsid w:val="00D62C10"/>
    <w:rsid w:val="00D62D1D"/>
    <w:rsid w:val="00D63298"/>
    <w:rsid w:val="00D633EA"/>
    <w:rsid w:val="00D6388B"/>
    <w:rsid w:val="00D639A9"/>
    <w:rsid w:val="00D63AFB"/>
    <w:rsid w:val="00D63B30"/>
    <w:rsid w:val="00D63C79"/>
    <w:rsid w:val="00D63E4C"/>
    <w:rsid w:val="00D63F5C"/>
    <w:rsid w:val="00D6436E"/>
    <w:rsid w:val="00D643A4"/>
    <w:rsid w:val="00D64636"/>
    <w:rsid w:val="00D648B2"/>
    <w:rsid w:val="00D648F5"/>
    <w:rsid w:val="00D6495E"/>
    <w:rsid w:val="00D64C71"/>
    <w:rsid w:val="00D64EE3"/>
    <w:rsid w:val="00D65240"/>
    <w:rsid w:val="00D65578"/>
    <w:rsid w:val="00D65B39"/>
    <w:rsid w:val="00D66BC1"/>
    <w:rsid w:val="00D67B7B"/>
    <w:rsid w:val="00D707A2"/>
    <w:rsid w:val="00D71168"/>
    <w:rsid w:val="00D711DB"/>
    <w:rsid w:val="00D71418"/>
    <w:rsid w:val="00D71553"/>
    <w:rsid w:val="00D71CEE"/>
    <w:rsid w:val="00D7228F"/>
    <w:rsid w:val="00D72890"/>
    <w:rsid w:val="00D728D4"/>
    <w:rsid w:val="00D72EBF"/>
    <w:rsid w:val="00D72F80"/>
    <w:rsid w:val="00D732D0"/>
    <w:rsid w:val="00D73ADB"/>
    <w:rsid w:val="00D73D22"/>
    <w:rsid w:val="00D73EC9"/>
    <w:rsid w:val="00D73F16"/>
    <w:rsid w:val="00D74866"/>
    <w:rsid w:val="00D74E25"/>
    <w:rsid w:val="00D75456"/>
    <w:rsid w:val="00D755E0"/>
    <w:rsid w:val="00D75E24"/>
    <w:rsid w:val="00D75FE0"/>
    <w:rsid w:val="00D7601C"/>
    <w:rsid w:val="00D76715"/>
    <w:rsid w:val="00D76BF1"/>
    <w:rsid w:val="00D76F3F"/>
    <w:rsid w:val="00D77A0F"/>
    <w:rsid w:val="00D77F82"/>
    <w:rsid w:val="00D80884"/>
    <w:rsid w:val="00D81A84"/>
    <w:rsid w:val="00D81C10"/>
    <w:rsid w:val="00D81D36"/>
    <w:rsid w:val="00D82200"/>
    <w:rsid w:val="00D82D2F"/>
    <w:rsid w:val="00D832BC"/>
    <w:rsid w:val="00D83977"/>
    <w:rsid w:val="00D84273"/>
    <w:rsid w:val="00D844BE"/>
    <w:rsid w:val="00D849D4"/>
    <w:rsid w:val="00D855B0"/>
    <w:rsid w:val="00D857D0"/>
    <w:rsid w:val="00D85D19"/>
    <w:rsid w:val="00D86C8C"/>
    <w:rsid w:val="00D86E2B"/>
    <w:rsid w:val="00D86E71"/>
    <w:rsid w:val="00D87040"/>
    <w:rsid w:val="00D87DC1"/>
    <w:rsid w:val="00D905FC"/>
    <w:rsid w:val="00D90960"/>
    <w:rsid w:val="00D9149E"/>
    <w:rsid w:val="00D91F91"/>
    <w:rsid w:val="00D922DB"/>
    <w:rsid w:val="00D9279B"/>
    <w:rsid w:val="00D92D72"/>
    <w:rsid w:val="00D9316E"/>
    <w:rsid w:val="00D939E0"/>
    <w:rsid w:val="00D93E10"/>
    <w:rsid w:val="00D94903"/>
    <w:rsid w:val="00D94CFB"/>
    <w:rsid w:val="00D94E58"/>
    <w:rsid w:val="00D94FF9"/>
    <w:rsid w:val="00D95024"/>
    <w:rsid w:val="00D95100"/>
    <w:rsid w:val="00D95BA6"/>
    <w:rsid w:val="00D9650C"/>
    <w:rsid w:val="00D96550"/>
    <w:rsid w:val="00D973AC"/>
    <w:rsid w:val="00D976C3"/>
    <w:rsid w:val="00D97CD1"/>
    <w:rsid w:val="00DA0446"/>
    <w:rsid w:val="00DA0BC1"/>
    <w:rsid w:val="00DA116F"/>
    <w:rsid w:val="00DA17E9"/>
    <w:rsid w:val="00DA1CB5"/>
    <w:rsid w:val="00DA2405"/>
    <w:rsid w:val="00DA2ABE"/>
    <w:rsid w:val="00DA2BD3"/>
    <w:rsid w:val="00DA3393"/>
    <w:rsid w:val="00DA3869"/>
    <w:rsid w:val="00DA38D4"/>
    <w:rsid w:val="00DA3C5F"/>
    <w:rsid w:val="00DA3DE7"/>
    <w:rsid w:val="00DA4757"/>
    <w:rsid w:val="00DA48DE"/>
    <w:rsid w:val="00DA51DA"/>
    <w:rsid w:val="00DA66FA"/>
    <w:rsid w:val="00DA6AA3"/>
    <w:rsid w:val="00DA6ED1"/>
    <w:rsid w:val="00DA704E"/>
    <w:rsid w:val="00DA753E"/>
    <w:rsid w:val="00DA77D9"/>
    <w:rsid w:val="00DA7B6A"/>
    <w:rsid w:val="00DB0514"/>
    <w:rsid w:val="00DB1238"/>
    <w:rsid w:val="00DB164C"/>
    <w:rsid w:val="00DB17C9"/>
    <w:rsid w:val="00DB3A2F"/>
    <w:rsid w:val="00DB44CC"/>
    <w:rsid w:val="00DB4BC0"/>
    <w:rsid w:val="00DB4C6F"/>
    <w:rsid w:val="00DB586A"/>
    <w:rsid w:val="00DB5BA6"/>
    <w:rsid w:val="00DB62F7"/>
    <w:rsid w:val="00DB6676"/>
    <w:rsid w:val="00DB69E2"/>
    <w:rsid w:val="00DB6F51"/>
    <w:rsid w:val="00DB72CE"/>
    <w:rsid w:val="00DB79C8"/>
    <w:rsid w:val="00DC0030"/>
    <w:rsid w:val="00DC0109"/>
    <w:rsid w:val="00DC07E5"/>
    <w:rsid w:val="00DC09E7"/>
    <w:rsid w:val="00DC0B2B"/>
    <w:rsid w:val="00DC14A0"/>
    <w:rsid w:val="00DC1BD1"/>
    <w:rsid w:val="00DC1F52"/>
    <w:rsid w:val="00DC20AA"/>
    <w:rsid w:val="00DC2781"/>
    <w:rsid w:val="00DC360C"/>
    <w:rsid w:val="00DC44E8"/>
    <w:rsid w:val="00DC4694"/>
    <w:rsid w:val="00DC5005"/>
    <w:rsid w:val="00DC5BB8"/>
    <w:rsid w:val="00DC6189"/>
    <w:rsid w:val="00DC67A8"/>
    <w:rsid w:val="00DC6ACC"/>
    <w:rsid w:val="00DC736F"/>
    <w:rsid w:val="00DC7A3A"/>
    <w:rsid w:val="00DD00ED"/>
    <w:rsid w:val="00DD0211"/>
    <w:rsid w:val="00DD0510"/>
    <w:rsid w:val="00DD0943"/>
    <w:rsid w:val="00DD0BDD"/>
    <w:rsid w:val="00DD0CE0"/>
    <w:rsid w:val="00DD0F1D"/>
    <w:rsid w:val="00DD136F"/>
    <w:rsid w:val="00DD1AA0"/>
    <w:rsid w:val="00DD1BF3"/>
    <w:rsid w:val="00DD239B"/>
    <w:rsid w:val="00DD239E"/>
    <w:rsid w:val="00DD283C"/>
    <w:rsid w:val="00DD2F62"/>
    <w:rsid w:val="00DD3161"/>
    <w:rsid w:val="00DD3210"/>
    <w:rsid w:val="00DD334A"/>
    <w:rsid w:val="00DD3799"/>
    <w:rsid w:val="00DD37C1"/>
    <w:rsid w:val="00DD3BC2"/>
    <w:rsid w:val="00DD3EDC"/>
    <w:rsid w:val="00DD40F4"/>
    <w:rsid w:val="00DD4F5E"/>
    <w:rsid w:val="00DD57F9"/>
    <w:rsid w:val="00DD5900"/>
    <w:rsid w:val="00DD5A37"/>
    <w:rsid w:val="00DD6A54"/>
    <w:rsid w:val="00DD6B0E"/>
    <w:rsid w:val="00DD7AD7"/>
    <w:rsid w:val="00DD7B16"/>
    <w:rsid w:val="00DD7E04"/>
    <w:rsid w:val="00DE28B4"/>
    <w:rsid w:val="00DE2C07"/>
    <w:rsid w:val="00DE2D14"/>
    <w:rsid w:val="00DE3313"/>
    <w:rsid w:val="00DE34A3"/>
    <w:rsid w:val="00DE37CB"/>
    <w:rsid w:val="00DE3883"/>
    <w:rsid w:val="00DE393A"/>
    <w:rsid w:val="00DE57E8"/>
    <w:rsid w:val="00DE5A57"/>
    <w:rsid w:val="00DE5BE3"/>
    <w:rsid w:val="00DE5D9F"/>
    <w:rsid w:val="00DE6505"/>
    <w:rsid w:val="00DE654F"/>
    <w:rsid w:val="00DE720D"/>
    <w:rsid w:val="00DE742D"/>
    <w:rsid w:val="00DE77D1"/>
    <w:rsid w:val="00DE77E5"/>
    <w:rsid w:val="00DE7A76"/>
    <w:rsid w:val="00DF011D"/>
    <w:rsid w:val="00DF02E8"/>
    <w:rsid w:val="00DF02FD"/>
    <w:rsid w:val="00DF07E3"/>
    <w:rsid w:val="00DF0FB2"/>
    <w:rsid w:val="00DF12E2"/>
    <w:rsid w:val="00DF182E"/>
    <w:rsid w:val="00DF1989"/>
    <w:rsid w:val="00DF1A64"/>
    <w:rsid w:val="00DF1F0B"/>
    <w:rsid w:val="00DF3423"/>
    <w:rsid w:val="00DF3ADF"/>
    <w:rsid w:val="00DF3C24"/>
    <w:rsid w:val="00DF4A5A"/>
    <w:rsid w:val="00DF4AE1"/>
    <w:rsid w:val="00DF4DD1"/>
    <w:rsid w:val="00DF505D"/>
    <w:rsid w:val="00DF5FBD"/>
    <w:rsid w:val="00DF5FE9"/>
    <w:rsid w:val="00DF61E6"/>
    <w:rsid w:val="00DF6423"/>
    <w:rsid w:val="00DF6796"/>
    <w:rsid w:val="00DF6970"/>
    <w:rsid w:val="00DF6D45"/>
    <w:rsid w:val="00DF7E65"/>
    <w:rsid w:val="00E0110B"/>
    <w:rsid w:val="00E01639"/>
    <w:rsid w:val="00E01693"/>
    <w:rsid w:val="00E01E38"/>
    <w:rsid w:val="00E01F21"/>
    <w:rsid w:val="00E02B8B"/>
    <w:rsid w:val="00E03DCF"/>
    <w:rsid w:val="00E04421"/>
    <w:rsid w:val="00E04788"/>
    <w:rsid w:val="00E049BA"/>
    <w:rsid w:val="00E04C28"/>
    <w:rsid w:val="00E04ECF"/>
    <w:rsid w:val="00E052F3"/>
    <w:rsid w:val="00E05E03"/>
    <w:rsid w:val="00E0609B"/>
    <w:rsid w:val="00E06C90"/>
    <w:rsid w:val="00E0712B"/>
    <w:rsid w:val="00E071D7"/>
    <w:rsid w:val="00E078ED"/>
    <w:rsid w:val="00E07B8E"/>
    <w:rsid w:val="00E111EB"/>
    <w:rsid w:val="00E12050"/>
    <w:rsid w:val="00E123A0"/>
    <w:rsid w:val="00E12885"/>
    <w:rsid w:val="00E136DA"/>
    <w:rsid w:val="00E139CD"/>
    <w:rsid w:val="00E13A65"/>
    <w:rsid w:val="00E13CA2"/>
    <w:rsid w:val="00E13D36"/>
    <w:rsid w:val="00E13DC3"/>
    <w:rsid w:val="00E14188"/>
    <w:rsid w:val="00E14417"/>
    <w:rsid w:val="00E148ED"/>
    <w:rsid w:val="00E1539C"/>
    <w:rsid w:val="00E153DC"/>
    <w:rsid w:val="00E15E4D"/>
    <w:rsid w:val="00E165BF"/>
    <w:rsid w:val="00E169A0"/>
    <w:rsid w:val="00E16FFB"/>
    <w:rsid w:val="00E1741A"/>
    <w:rsid w:val="00E1776A"/>
    <w:rsid w:val="00E20E12"/>
    <w:rsid w:val="00E214EC"/>
    <w:rsid w:val="00E2227C"/>
    <w:rsid w:val="00E22599"/>
    <w:rsid w:val="00E2280C"/>
    <w:rsid w:val="00E22BC5"/>
    <w:rsid w:val="00E22BD3"/>
    <w:rsid w:val="00E23841"/>
    <w:rsid w:val="00E23EE5"/>
    <w:rsid w:val="00E2454B"/>
    <w:rsid w:val="00E246A4"/>
    <w:rsid w:val="00E24835"/>
    <w:rsid w:val="00E24DD1"/>
    <w:rsid w:val="00E250AB"/>
    <w:rsid w:val="00E25188"/>
    <w:rsid w:val="00E252BB"/>
    <w:rsid w:val="00E255A7"/>
    <w:rsid w:val="00E25C70"/>
    <w:rsid w:val="00E25FD2"/>
    <w:rsid w:val="00E262BF"/>
    <w:rsid w:val="00E2674B"/>
    <w:rsid w:val="00E267C0"/>
    <w:rsid w:val="00E26905"/>
    <w:rsid w:val="00E26EE0"/>
    <w:rsid w:val="00E27440"/>
    <w:rsid w:val="00E2799C"/>
    <w:rsid w:val="00E279EF"/>
    <w:rsid w:val="00E27D14"/>
    <w:rsid w:val="00E3046F"/>
    <w:rsid w:val="00E307F3"/>
    <w:rsid w:val="00E30B0C"/>
    <w:rsid w:val="00E31229"/>
    <w:rsid w:val="00E31989"/>
    <w:rsid w:val="00E31FC3"/>
    <w:rsid w:val="00E323B1"/>
    <w:rsid w:val="00E325DE"/>
    <w:rsid w:val="00E32AF8"/>
    <w:rsid w:val="00E33414"/>
    <w:rsid w:val="00E349A0"/>
    <w:rsid w:val="00E34ABE"/>
    <w:rsid w:val="00E3523A"/>
    <w:rsid w:val="00E3523F"/>
    <w:rsid w:val="00E3651C"/>
    <w:rsid w:val="00E365C6"/>
    <w:rsid w:val="00E36619"/>
    <w:rsid w:val="00E36763"/>
    <w:rsid w:val="00E36996"/>
    <w:rsid w:val="00E36D48"/>
    <w:rsid w:val="00E3700C"/>
    <w:rsid w:val="00E37232"/>
    <w:rsid w:val="00E37531"/>
    <w:rsid w:val="00E377D9"/>
    <w:rsid w:val="00E37B77"/>
    <w:rsid w:val="00E40EBB"/>
    <w:rsid w:val="00E415D3"/>
    <w:rsid w:val="00E41835"/>
    <w:rsid w:val="00E41BC0"/>
    <w:rsid w:val="00E425E8"/>
    <w:rsid w:val="00E42BC4"/>
    <w:rsid w:val="00E42FE7"/>
    <w:rsid w:val="00E43858"/>
    <w:rsid w:val="00E438D3"/>
    <w:rsid w:val="00E43BA8"/>
    <w:rsid w:val="00E45509"/>
    <w:rsid w:val="00E4553A"/>
    <w:rsid w:val="00E457A0"/>
    <w:rsid w:val="00E45CB7"/>
    <w:rsid w:val="00E4655D"/>
    <w:rsid w:val="00E468C0"/>
    <w:rsid w:val="00E472DA"/>
    <w:rsid w:val="00E50A05"/>
    <w:rsid w:val="00E50B01"/>
    <w:rsid w:val="00E50ECC"/>
    <w:rsid w:val="00E50F86"/>
    <w:rsid w:val="00E511A7"/>
    <w:rsid w:val="00E5155D"/>
    <w:rsid w:val="00E51C06"/>
    <w:rsid w:val="00E51EA4"/>
    <w:rsid w:val="00E5224A"/>
    <w:rsid w:val="00E52839"/>
    <w:rsid w:val="00E52A0C"/>
    <w:rsid w:val="00E52A81"/>
    <w:rsid w:val="00E52B53"/>
    <w:rsid w:val="00E537DF"/>
    <w:rsid w:val="00E5384A"/>
    <w:rsid w:val="00E53FA6"/>
    <w:rsid w:val="00E542E8"/>
    <w:rsid w:val="00E543A7"/>
    <w:rsid w:val="00E54CD7"/>
    <w:rsid w:val="00E54F06"/>
    <w:rsid w:val="00E55015"/>
    <w:rsid w:val="00E550E6"/>
    <w:rsid w:val="00E55660"/>
    <w:rsid w:val="00E557B1"/>
    <w:rsid w:val="00E55AD2"/>
    <w:rsid w:val="00E560CC"/>
    <w:rsid w:val="00E56196"/>
    <w:rsid w:val="00E5634A"/>
    <w:rsid w:val="00E56720"/>
    <w:rsid w:val="00E57DF1"/>
    <w:rsid w:val="00E57E22"/>
    <w:rsid w:val="00E57ED6"/>
    <w:rsid w:val="00E6044F"/>
    <w:rsid w:val="00E615B9"/>
    <w:rsid w:val="00E61647"/>
    <w:rsid w:val="00E616D8"/>
    <w:rsid w:val="00E61908"/>
    <w:rsid w:val="00E62388"/>
    <w:rsid w:val="00E625F6"/>
    <w:rsid w:val="00E6267F"/>
    <w:rsid w:val="00E62DAA"/>
    <w:rsid w:val="00E63942"/>
    <w:rsid w:val="00E639D9"/>
    <w:rsid w:val="00E63C09"/>
    <w:rsid w:val="00E6434F"/>
    <w:rsid w:val="00E65072"/>
    <w:rsid w:val="00E660A5"/>
    <w:rsid w:val="00E66A29"/>
    <w:rsid w:val="00E66C2D"/>
    <w:rsid w:val="00E6704F"/>
    <w:rsid w:val="00E67A1C"/>
    <w:rsid w:val="00E7005F"/>
    <w:rsid w:val="00E70762"/>
    <w:rsid w:val="00E708F6"/>
    <w:rsid w:val="00E72756"/>
    <w:rsid w:val="00E72DAF"/>
    <w:rsid w:val="00E732F3"/>
    <w:rsid w:val="00E74183"/>
    <w:rsid w:val="00E74DE2"/>
    <w:rsid w:val="00E74E9E"/>
    <w:rsid w:val="00E74EB9"/>
    <w:rsid w:val="00E74FC8"/>
    <w:rsid w:val="00E750A6"/>
    <w:rsid w:val="00E751DE"/>
    <w:rsid w:val="00E75B2B"/>
    <w:rsid w:val="00E767BC"/>
    <w:rsid w:val="00E76B9F"/>
    <w:rsid w:val="00E76E41"/>
    <w:rsid w:val="00E76E4E"/>
    <w:rsid w:val="00E76EDF"/>
    <w:rsid w:val="00E772B5"/>
    <w:rsid w:val="00E77B9D"/>
    <w:rsid w:val="00E77FD4"/>
    <w:rsid w:val="00E80038"/>
    <w:rsid w:val="00E80352"/>
    <w:rsid w:val="00E80600"/>
    <w:rsid w:val="00E80CA1"/>
    <w:rsid w:val="00E80F23"/>
    <w:rsid w:val="00E81DA9"/>
    <w:rsid w:val="00E820B3"/>
    <w:rsid w:val="00E82281"/>
    <w:rsid w:val="00E824EB"/>
    <w:rsid w:val="00E827A8"/>
    <w:rsid w:val="00E82F2A"/>
    <w:rsid w:val="00E83CB6"/>
    <w:rsid w:val="00E84DCC"/>
    <w:rsid w:val="00E85A96"/>
    <w:rsid w:val="00E861FC"/>
    <w:rsid w:val="00E8728A"/>
    <w:rsid w:val="00E8797E"/>
    <w:rsid w:val="00E87A96"/>
    <w:rsid w:val="00E87C3C"/>
    <w:rsid w:val="00E87C98"/>
    <w:rsid w:val="00E87CB4"/>
    <w:rsid w:val="00E87DB8"/>
    <w:rsid w:val="00E91005"/>
    <w:rsid w:val="00E916AA"/>
    <w:rsid w:val="00E91969"/>
    <w:rsid w:val="00E925B5"/>
    <w:rsid w:val="00E92D65"/>
    <w:rsid w:val="00E92FEF"/>
    <w:rsid w:val="00E93151"/>
    <w:rsid w:val="00E933A5"/>
    <w:rsid w:val="00E93827"/>
    <w:rsid w:val="00E93AF0"/>
    <w:rsid w:val="00E93DBF"/>
    <w:rsid w:val="00E93F32"/>
    <w:rsid w:val="00E944F8"/>
    <w:rsid w:val="00E94894"/>
    <w:rsid w:val="00E94D1B"/>
    <w:rsid w:val="00E954AF"/>
    <w:rsid w:val="00E954DF"/>
    <w:rsid w:val="00E95D83"/>
    <w:rsid w:val="00E9645B"/>
    <w:rsid w:val="00E96FC3"/>
    <w:rsid w:val="00E97D88"/>
    <w:rsid w:val="00E97DB4"/>
    <w:rsid w:val="00EA026C"/>
    <w:rsid w:val="00EA0C4E"/>
    <w:rsid w:val="00EA0F82"/>
    <w:rsid w:val="00EA15B3"/>
    <w:rsid w:val="00EA1872"/>
    <w:rsid w:val="00EA1A51"/>
    <w:rsid w:val="00EA1BB3"/>
    <w:rsid w:val="00EA1E4A"/>
    <w:rsid w:val="00EA1F89"/>
    <w:rsid w:val="00EA2300"/>
    <w:rsid w:val="00EA2AB2"/>
    <w:rsid w:val="00EA2D6E"/>
    <w:rsid w:val="00EA2DF9"/>
    <w:rsid w:val="00EA336C"/>
    <w:rsid w:val="00EA3D90"/>
    <w:rsid w:val="00EA3F58"/>
    <w:rsid w:val="00EA4781"/>
    <w:rsid w:val="00EA47DD"/>
    <w:rsid w:val="00EA561A"/>
    <w:rsid w:val="00EA5BBB"/>
    <w:rsid w:val="00EA611F"/>
    <w:rsid w:val="00EA638C"/>
    <w:rsid w:val="00EA66B4"/>
    <w:rsid w:val="00EA77FE"/>
    <w:rsid w:val="00EA7ED8"/>
    <w:rsid w:val="00EA7FEB"/>
    <w:rsid w:val="00EB0BE4"/>
    <w:rsid w:val="00EB0EAC"/>
    <w:rsid w:val="00EB155B"/>
    <w:rsid w:val="00EB1E01"/>
    <w:rsid w:val="00EB26AC"/>
    <w:rsid w:val="00EB28A5"/>
    <w:rsid w:val="00EB2FD3"/>
    <w:rsid w:val="00EB32A2"/>
    <w:rsid w:val="00EB33B4"/>
    <w:rsid w:val="00EB3E56"/>
    <w:rsid w:val="00EB41B7"/>
    <w:rsid w:val="00EB425D"/>
    <w:rsid w:val="00EB45B8"/>
    <w:rsid w:val="00EB5EB1"/>
    <w:rsid w:val="00EB5FAB"/>
    <w:rsid w:val="00EB700C"/>
    <w:rsid w:val="00EB7085"/>
    <w:rsid w:val="00EB72FB"/>
    <w:rsid w:val="00EB7660"/>
    <w:rsid w:val="00EB7866"/>
    <w:rsid w:val="00EB7A80"/>
    <w:rsid w:val="00EB7CA6"/>
    <w:rsid w:val="00EC00DE"/>
    <w:rsid w:val="00EC0837"/>
    <w:rsid w:val="00EC09B7"/>
    <w:rsid w:val="00EC11A7"/>
    <w:rsid w:val="00EC1670"/>
    <w:rsid w:val="00EC1725"/>
    <w:rsid w:val="00EC1C49"/>
    <w:rsid w:val="00EC229D"/>
    <w:rsid w:val="00EC39AC"/>
    <w:rsid w:val="00EC4012"/>
    <w:rsid w:val="00EC431B"/>
    <w:rsid w:val="00EC43B9"/>
    <w:rsid w:val="00EC46F1"/>
    <w:rsid w:val="00EC4B33"/>
    <w:rsid w:val="00EC4FD3"/>
    <w:rsid w:val="00EC523A"/>
    <w:rsid w:val="00EC6136"/>
    <w:rsid w:val="00EC6536"/>
    <w:rsid w:val="00EC6C2E"/>
    <w:rsid w:val="00EC6E5A"/>
    <w:rsid w:val="00EC6F6D"/>
    <w:rsid w:val="00EC7F15"/>
    <w:rsid w:val="00ED033A"/>
    <w:rsid w:val="00ED0957"/>
    <w:rsid w:val="00ED0C00"/>
    <w:rsid w:val="00ED0CBB"/>
    <w:rsid w:val="00ED10D7"/>
    <w:rsid w:val="00ED1619"/>
    <w:rsid w:val="00ED1968"/>
    <w:rsid w:val="00ED1F9C"/>
    <w:rsid w:val="00ED2591"/>
    <w:rsid w:val="00ED2686"/>
    <w:rsid w:val="00ED33EE"/>
    <w:rsid w:val="00ED44F9"/>
    <w:rsid w:val="00ED4D7D"/>
    <w:rsid w:val="00ED4E2B"/>
    <w:rsid w:val="00ED508C"/>
    <w:rsid w:val="00ED5157"/>
    <w:rsid w:val="00ED54D1"/>
    <w:rsid w:val="00ED5CE2"/>
    <w:rsid w:val="00ED70F1"/>
    <w:rsid w:val="00ED7696"/>
    <w:rsid w:val="00ED778B"/>
    <w:rsid w:val="00ED7F06"/>
    <w:rsid w:val="00EE0169"/>
    <w:rsid w:val="00EE0B68"/>
    <w:rsid w:val="00EE119F"/>
    <w:rsid w:val="00EE13B0"/>
    <w:rsid w:val="00EE1B8D"/>
    <w:rsid w:val="00EE2032"/>
    <w:rsid w:val="00EE24F5"/>
    <w:rsid w:val="00EE2E4D"/>
    <w:rsid w:val="00EE3008"/>
    <w:rsid w:val="00EE3101"/>
    <w:rsid w:val="00EE31F5"/>
    <w:rsid w:val="00EE3F13"/>
    <w:rsid w:val="00EE5129"/>
    <w:rsid w:val="00EE529C"/>
    <w:rsid w:val="00EE54B1"/>
    <w:rsid w:val="00EE5FF1"/>
    <w:rsid w:val="00EE6031"/>
    <w:rsid w:val="00EE69CC"/>
    <w:rsid w:val="00EE69EE"/>
    <w:rsid w:val="00EE6AFC"/>
    <w:rsid w:val="00EE6E3B"/>
    <w:rsid w:val="00EE77DD"/>
    <w:rsid w:val="00EE7AE9"/>
    <w:rsid w:val="00EE7D51"/>
    <w:rsid w:val="00EF00CA"/>
    <w:rsid w:val="00EF06CE"/>
    <w:rsid w:val="00EF0947"/>
    <w:rsid w:val="00EF0E76"/>
    <w:rsid w:val="00EF1217"/>
    <w:rsid w:val="00EF138C"/>
    <w:rsid w:val="00EF1C0D"/>
    <w:rsid w:val="00EF1CBD"/>
    <w:rsid w:val="00EF27E8"/>
    <w:rsid w:val="00EF360B"/>
    <w:rsid w:val="00EF3ADF"/>
    <w:rsid w:val="00EF3D39"/>
    <w:rsid w:val="00EF43EC"/>
    <w:rsid w:val="00EF46E2"/>
    <w:rsid w:val="00EF4C95"/>
    <w:rsid w:val="00EF4F8E"/>
    <w:rsid w:val="00EF541B"/>
    <w:rsid w:val="00EF55A6"/>
    <w:rsid w:val="00EF6391"/>
    <w:rsid w:val="00EF64F3"/>
    <w:rsid w:val="00EF6985"/>
    <w:rsid w:val="00EF774E"/>
    <w:rsid w:val="00EF7BA6"/>
    <w:rsid w:val="00EF7FC3"/>
    <w:rsid w:val="00F00142"/>
    <w:rsid w:val="00F004C2"/>
    <w:rsid w:val="00F00E41"/>
    <w:rsid w:val="00F010C4"/>
    <w:rsid w:val="00F013B1"/>
    <w:rsid w:val="00F014A3"/>
    <w:rsid w:val="00F01716"/>
    <w:rsid w:val="00F0256E"/>
    <w:rsid w:val="00F02746"/>
    <w:rsid w:val="00F02B7D"/>
    <w:rsid w:val="00F02C61"/>
    <w:rsid w:val="00F0333F"/>
    <w:rsid w:val="00F03697"/>
    <w:rsid w:val="00F046DB"/>
    <w:rsid w:val="00F049CA"/>
    <w:rsid w:val="00F059A4"/>
    <w:rsid w:val="00F06111"/>
    <w:rsid w:val="00F062D4"/>
    <w:rsid w:val="00F06C03"/>
    <w:rsid w:val="00F078AC"/>
    <w:rsid w:val="00F078C2"/>
    <w:rsid w:val="00F07DBA"/>
    <w:rsid w:val="00F07E25"/>
    <w:rsid w:val="00F10802"/>
    <w:rsid w:val="00F10977"/>
    <w:rsid w:val="00F11109"/>
    <w:rsid w:val="00F113EA"/>
    <w:rsid w:val="00F11C42"/>
    <w:rsid w:val="00F11DAC"/>
    <w:rsid w:val="00F11FE1"/>
    <w:rsid w:val="00F129F5"/>
    <w:rsid w:val="00F13117"/>
    <w:rsid w:val="00F1350A"/>
    <w:rsid w:val="00F13EC1"/>
    <w:rsid w:val="00F13FE7"/>
    <w:rsid w:val="00F148B1"/>
    <w:rsid w:val="00F14AD9"/>
    <w:rsid w:val="00F14B71"/>
    <w:rsid w:val="00F154B4"/>
    <w:rsid w:val="00F15599"/>
    <w:rsid w:val="00F15C0D"/>
    <w:rsid w:val="00F15C14"/>
    <w:rsid w:val="00F1658A"/>
    <w:rsid w:val="00F17CE5"/>
    <w:rsid w:val="00F17D6E"/>
    <w:rsid w:val="00F2081F"/>
    <w:rsid w:val="00F20FFF"/>
    <w:rsid w:val="00F2112F"/>
    <w:rsid w:val="00F21144"/>
    <w:rsid w:val="00F212E7"/>
    <w:rsid w:val="00F215B1"/>
    <w:rsid w:val="00F21A5A"/>
    <w:rsid w:val="00F227C4"/>
    <w:rsid w:val="00F23703"/>
    <w:rsid w:val="00F2408A"/>
    <w:rsid w:val="00F260A2"/>
    <w:rsid w:val="00F2644A"/>
    <w:rsid w:val="00F278A3"/>
    <w:rsid w:val="00F30518"/>
    <w:rsid w:val="00F30CC4"/>
    <w:rsid w:val="00F312D5"/>
    <w:rsid w:val="00F314C1"/>
    <w:rsid w:val="00F31BC6"/>
    <w:rsid w:val="00F32089"/>
    <w:rsid w:val="00F3258A"/>
    <w:rsid w:val="00F326C4"/>
    <w:rsid w:val="00F329D8"/>
    <w:rsid w:val="00F32B11"/>
    <w:rsid w:val="00F32B5F"/>
    <w:rsid w:val="00F32E73"/>
    <w:rsid w:val="00F33141"/>
    <w:rsid w:val="00F33344"/>
    <w:rsid w:val="00F3406F"/>
    <w:rsid w:val="00F35090"/>
    <w:rsid w:val="00F3517E"/>
    <w:rsid w:val="00F354B1"/>
    <w:rsid w:val="00F36B5B"/>
    <w:rsid w:val="00F36C02"/>
    <w:rsid w:val="00F37511"/>
    <w:rsid w:val="00F37D4B"/>
    <w:rsid w:val="00F4001A"/>
    <w:rsid w:val="00F40191"/>
    <w:rsid w:val="00F40813"/>
    <w:rsid w:val="00F415B9"/>
    <w:rsid w:val="00F4198A"/>
    <w:rsid w:val="00F419F4"/>
    <w:rsid w:val="00F41DD7"/>
    <w:rsid w:val="00F424A0"/>
    <w:rsid w:val="00F43422"/>
    <w:rsid w:val="00F4359C"/>
    <w:rsid w:val="00F44688"/>
    <w:rsid w:val="00F447F3"/>
    <w:rsid w:val="00F44DC9"/>
    <w:rsid w:val="00F451ED"/>
    <w:rsid w:val="00F4631D"/>
    <w:rsid w:val="00F46449"/>
    <w:rsid w:val="00F4657B"/>
    <w:rsid w:val="00F47045"/>
    <w:rsid w:val="00F4758C"/>
    <w:rsid w:val="00F475B7"/>
    <w:rsid w:val="00F475FD"/>
    <w:rsid w:val="00F47C98"/>
    <w:rsid w:val="00F47D24"/>
    <w:rsid w:val="00F47DCB"/>
    <w:rsid w:val="00F47F1C"/>
    <w:rsid w:val="00F47F2E"/>
    <w:rsid w:val="00F50FE4"/>
    <w:rsid w:val="00F51026"/>
    <w:rsid w:val="00F52CC3"/>
    <w:rsid w:val="00F52F9F"/>
    <w:rsid w:val="00F53092"/>
    <w:rsid w:val="00F53426"/>
    <w:rsid w:val="00F53ACA"/>
    <w:rsid w:val="00F53C67"/>
    <w:rsid w:val="00F542A0"/>
    <w:rsid w:val="00F54445"/>
    <w:rsid w:val="00F54545"/>
    <w:rsid w:val="00F54813"/>
    <w:rsid w:val="00F5543A"/>
    <w:rsid w:val="00F55994"/>
    <w:rsid w:val="00F55A98"/>
    <w:rsid w:val="00F5700B"/>
    <w:rsid w:val="00F5756E"/>
    <w:rsid w:val="00F57A63"/>
    <w:rsid w:val="00F57E10"/>
    <w:rsid w:val="00F60245"/>
    <w:rsid w:val="00F60BEB"/>
    <w:rsid w:val="00F60F6B"/>
    <w:rsid w:val="00F62013"/>
    <w:rsid w:val="00F62264"/>
    <w:rsid w:val="00F622A6"/>
    <w:rsid w:val="00F626AC"/>
    <w:rsid w:val="00F630FD"/>
    <w:rsid w:val="00F632CC"/>
    <w:rsid w:val="00F63646"/>
    <w:rsid w:val="00F636E6"/>
    <w:rsid w:val="00F63B18"/>
    <w:rsid w:val="00F650B8"/>
    <w:rsid w:val="00F65604"/>
    <w:rsid w:val="00F6575D"/>
    <w:rsid w:val="00F65B0A"/>
    <w:rsid w:val="00F65FBF"/>
    <w:rsid w:val="00F662CD"/>
    <w:rsid w:val="00F6684F"/>
    <w:rsid w:val="00F66B0B"/>
    <w:rsid w:val="00F6782D"/>
    <w:rsid w:val="00F67BEC"/>
    <w:rsid w:val="00F67CC7"/>
    <w:rsid w:val="00F67CF6"/>
    <w:rsid w:val="00F701E1"/>
    <w:rsid w:val="00F70347"/>
    <w:rsid w:val="00F7074F"/>
    <w:rsid w:val="00F708ED"/>
    <w:rsid w:val="00F716E5"/>
    <w:rsid w:val="00F72008"/>
    <w:rsid w:val="00F72AFC"/>
    <w:rsid w:val="00F72D43"/>
    <w:rsid w:val="00F7374F"/>
    <w:rsid w:val="00F74279"/>
    <w:rsid w:val="00F7526C"/>
    <w:rsid w:val="00F75C08"/>
    <w:rsid w:val="00F7658F"/>
    <w:rsid w:val="00F76CD9"/>
    <w:rsid w:val="00F76D74"/>
    <w:rsid w:val="00F770A6"/>
    <w:rsid w:val="00F7718C"/>
    <w:rsid w:val="00F7739F"/>
    <w:rsid w:val="00F77901"/>
    <w:rsid w:val="00F77B97"/>
    <w:rsid w:val="00F77D8C"/>
    <w:rsid w:val="00F800BE"/>
    <w:rsid w:val="00F81647"/>
    <w:rsid w:val="00F81D23"/>
    <w:rsid w:val="00F81EA9"/>
    <w:rsid w:val="00F82BC6"/>
    <w:rsid w:val="00F82F0B"/>
    <w:rsid w:val="00F82F98"/>
    <w:rsid w:val="00F831A8"/>
    <w:rsid w:val="00F833AA"/>
    <w:rsid w:val="00F83819"/>
    <w:rsid w:val="00F842E4"/>
    <w:rsid w:val="00F844F3"/>
    <w:rsid w:val="00F8484D"/>
    <w:rsid w:val="00F85C15"/>
    <w:rsid w:val="00F86626"/>
    <w:rsid w:val="00F86DFD"/>
    <w:rsid w:val="00F86EF0"/>
    <w:rsid w:val="00F87477"/>
    <w:rsid w:val="00F87717"/>
    <w:rsid w:val="00F9037C"/>
    <w:rsid w:val="00F90723"/>
    <w:rsid w:val="00F90766"/>
    <w:rsid w:val="00F9146A"/>
    <w:rsid w:val="00F917BC"/>
    <w:rsid w:val="00F91947"/>
    <w:rsid w:val="00F91C85"/>
    <w:rsid w:val="00F91DDB"/>
    <w:rsid w:val="00F93031"/>
    <w:rsid w:val="00F934F5"/>
    <w:rsid w:val="00F93777"/>
    <w:rsid w:val="00F9499A"/>
    <w:rsid w:val="00F94A55"/>
    <w:rsid w:val="00F9514E"/>
    <w:rsid w:val="00F9559D"/>
    <w:rsid w:val="00F955E5"/>
    <w:rsid w:val="00F956B7"/>
    <w:rsid w:val="00F95D06"/>
    <w:rsid w:val="00F95FC3"/>
    <w:rsid w:val="00F964BD"/>
    <w:rsid w:val="00F96F52"/>
    <w:rsid w:val="00F96FA7"/>
    <w:rsid w:val="00F9766B"/>
    <w:rsid w:val="00F9768D"/>
    <w:rsid w:val="00F978EF"/>
    <w:rsid w:val="00F9793A"/>
    <w:rsid w:val="00F97D7D"/>
    <w:rsid w:val="00F97EE5"/>
    <w:rsid w:val="00FA0466"/>
    <w:rsid w:val="00FA04A7"/>
    <w:rsid w:val="00FA0A35"/>
    <w:rsid w:val="00FA0C15"/>
    <w:rsid w:val="00FA0E97"/>
    <w:rsid w:val="00FA0F70"/>
    <w:rsid w:val="00FA14C2"/>
    <w:rsid w:val="00FA18B6"/>
    <w:rsid w:val="00FA198E"/>
    <w:rsid w:val="00FA1DC1"/>
    <w:rsid w:val="00FA1F12"/>
    <w:rsid w:val="00FA4A31"/>
    <w:rsid w:val="00FA54D7"/>
    <w:rsid w:val="00FA5A5E"/>
    <w:rsid w:val="00FA6474"/>
    <w:rsid w:val="00FA6824"/>
    <w:rsid w:val="00FA69B0"/>
    <w:rsid w:val="00FA738D"/>
    <w:rsid w:val="00FA7577"/>
    <w:rsid w:val="00FB0002"/>
    <w:rsid w:val="00FB0520"/>
    <w:rsid w:val="00FB06F8"/>
    <w:rsid w:val="00FB08D1"/>
    <w:rsid w:val="00FB0D9F"/>
    <w:rsid w:val="00FB1DE2"/>
    <w:rsid w:val="00FB1E73"/>
    <w:rsid w:val="00FB22EC"/>
    <w:rsid w:val="00FB23FB"/>
    <w:rsid w:val="00FB2596"/>
    <w:rsid w:val="00FB2CA0"/>
    <w:rsid w:val="00FB30AB"/>
    <w:rsid w:val="00FB3583"/>
    <w:rsid w:val="00FB3659"/>
    <w:rsid w:val="00FB3D15"/>
    <w:rsid w:val="00FB46A1"/>
    <w:rsid w:val="00FB4A6E"/>
    <w:rsid w:val="00FB4CFD"/>
    <w:rsid w:val="00FB56CA"/>
    <w:rsid w:val="00FB5FE8"/>
    <w:rsid w:val="00FB6444"/>
    <w:rsid w:val="00FB69E2"/>
    <w:rsid w:val="00FB6B15"/>
    <w:rsid w:val="00FB6BC4"/>
    <w:rsid w:val="00FB7E67"/>
    <w:rsid w:val="00FC0707"/>
    <w:rsid w:val="00FC0A37"/>
    <w:rsid w:val="00FC129B"/>
    <w:rsid w:val="00FC145C"/>
    <w:rsid w:val="00FC1EBE"/>
    <w:rsid w:val="00FC1F1A"/>
    <w:rsid w:val="00FC21AD"/>
    <w:rsid w:val="00FC2257"/>
    <w:rsid w:val="00FC26E0"/>
    <w:rsid w:val="00FC2EEE"/>
    <w:rsid w:val="00FC3A27"/>
    <w:rsid w:val="00FC475F"/>
    <w:rsid w:val="00FC4C2E"/>
    <w:rsid w:val="00FC4ECA"/>
    <w:rsid w:val="00FC522C"/>
    <w:rsid w:val="00FC5881"/>
    <w:rsid w:val="00FC7596"/>
    <w:rsid w:val="00FC7BF8"/>
    <w:rsid w:val="00FC7C2A"/>
    <w:rsid w:val="00FD01CD"/>
    <w:rsid w:val="00FD064D"/>
    <w:rsid w:val="00FD0A26"/>
    <w:rsid w:val="00FD0F5E"/>
    <w:rsid w:val="00FD1082"/>
    <w:rsid w:val="00FD1100"/>
    <w:rsid w:val="00FD1D00"/>
    <w:rsid w:val="00FD2723"/>
    <w:rsid w:val="00FD292D"/>
    <w:rsid w:val="00FD2B79"/>
    <w:rsid w:val="00FD2F3E"/>
    <w:rsid w:val="00FD2F70"/>
    <w:rsid w:val="00FD3206"/>
    <w:rsid w:val="00FD383E"/>
    <w:rsid w:val="00FD3954"/>
    <w:rsid w:val="00FD3FF9"/>
    <w:rsid w:val="00FD4283"/>
    <w:rsid w:val="00FD48C4"/>
    <w:rsid w:val="00FD4943"/>
    <w:rsid w:val="00FD4EA1"/>
    <w:rsid w:val="00FD5A8D"/>
    <w:rsid w:val="00FD5BF4"/>
    <w:rsid w:val="00FD6157"/>
    <w:rsid w:val="00FD6C0A"/>
    <w:rsid w:val="00FD76D1"/>
    <w:rsid w:val="00FD7D3C"/>
    <w:rsid w:val="00FD7EA1"/>
    <w:rsid w:val="00FD7F04"/>
    <w:rsid w:val="00FD7FBC"/>
    <w:rsid w:val="00FD7FE3"/>
    <w:rsid w:val="00FE029F"/>
    <w:rsid w:val="00FE097A"/>
    <w:rsid w:val="00FE0BA3"/>
    <w:rsid w:val="00FE1574"/>
    <w:rsid w:val="00FE1AAB"/>
    <w:rsid w:val="00FE1C84"/>
    <w:rsid w:val="00FE230B"/>
    <w:rsid w:val="00FE2DB8"/>
    <w:rsid w:val="00FE2F8E"/>
    <w:rsid w:val="00FE3316"/>
    <w:rsid w:val="00FE4476"/>
    <w:rsid w:val="00FE4B02"/>
    <w:rsid w:val="00FE4EC0"/>
    <w:rsid w:val="00FE57E3"/>
    <w:rsid w:val="00FE5D03"/>
    <w:rsid w:val="00FE5E4C"/>
    <w:rsid w:val="00FE6134"/>
    <w:rsid w:val="00FE6312"/>
    <w:rsid w:val="00FE77CE"/>
    <w:rsid w:val="00FE798D"/>
    <w:rsid w:val="00FF0664"/>
    <w:rsid w:val="00FF0D84"/>
    <w:rsid w:val="00FF0F50"/>
    <w:rsid w:val="00FF166F"/>
    <w:rsid w:val="00FF16F9"/>
    <w:rsid w:val="00FF17AF"/>
    <w:rsid w:val="00FF18DE"/>
    <w:rsid w:val="00FF1D52"/>
    <w:rsid w:val="00FF2828"/>
    <w:rsid w:val="00FF313D"/>
    <w:rsid w:val="00FF49AD"/>
    <w:rsid w:val="00FF4B6C"/>
    <w:rsid w:val="00FF4EBB"/>
    <w:rsid w:val="00FF5226"/>
    <w:rsid w:val="00FF5900"/>
    <w:rsid w:val="00FF59E3"/>
    <w:rsid w:val="00FF6151"/>
    <w:rsid w:val="00FF625E"/>
    <w:rsid w:val="00FF62C1"/>
    <w:rsid w:val="00FF7915"/>
    <w:rsid w:val="00FF7961"/>
    <w:rsid w:val="073FD4D9"/>
    <w:rsid w:val="07E39F40"/>
    <w:rsid w:val="0CEF4ADB"/>
    <w:rsid w:val="127E361F"/>
    <w:rsid w:val="16BE6A4C"/>
    <w:rsid w:val="1779A3A2"/>
    <w:rsid w:val="1BFF0105"/>
    <w:rsid w:val="1CD080ED"/>
    <w:rsid w:val="1DDF43FF"/>
    <w:rsid w:val="1F6EFB50"/>
    <w:rsid w:val="1F7BB291"/>
    <w:rsid w:val="1FE70100"/>
    <w:rsid w:val="1FEDD020"/>
    <w:rsid w:val="1FF6542C"/>
    <w:rsid w:val="25D7EB77"/>
    <w:rsid w:val="27F6157C"/>
    <w:rsid w:val="2AFD7373"/>
    <w:rsid w:val="2AFE1AB3"/>
    <w:rsid w:val="2BED5BCD"/>
    <w:rsid w:val="2DDB9030"/>
    <w:rsid w:val="2DF60BA2"/>
    <w:rsid w:val="2DFFD222"/>
    <w:rsid w:val="2FBE4711"/>
    <w:rsid w:val="2FEF0246"/>
    <w:rsid w:val="2FF5C6FB"/>
    <w:rsid w:val="32FF8918"/>
    <w:rsid w:val="36DF5045"/>
    <w:rsid w:val="37FD7F30"/>
    <w:rsid w:val="37FF3CEC"/>
    <w:rsid w:val="385FA55E"/>
    <w:rsid w:val="39AE1651"/>
    <w:rsid w:val="39DEB696"/>
    <w:rsid w:val="3AFD68D9"/>
    <w:rsid w:val="3BEF3685"/>
    <w:rsid w:val="3DDF96E4"/>
    <w:rsid w:val="3E3B6475"/>
    <w:rsid w:val="3E6D0321"/>
    <w:rsid w:val="3EFFBE0E"/>
    <w:rsid w:val="3EFFDA52"/>
    <w:rsid w:val="3F2FF9B7"/>
    <w:rsid w:val="3F5B6ABF"/>
    <w:rsid w:val="3F731594"/>
    <w:rsid w:val="3FDFDC23"/>
    <w:rsid w:val="3FEFACBB"/>
    <w:rsid w:val="3FF93363"/>
    <w:rsid w:val="44210924"/>
    <w:rsid w:val="46F3FDD9"/>
    <w:rsid w:val="49DFF77C"/>
    <w:rsid w:val="4BB7CF94"/>
    <w:rsid w:val="4C7AE2B8"/>
    <w:rsid w:val="4C7F197B"/>
    <w:rsid w:val="4DDF457F"/>
    <w:rsid w:val="4F2F9EF8"/>
    <w:rsid w:val="4F73EBC7"/>
    <w:rsid w:val="4FBF1463"/>
    <w:rsid w:val="4FF63DAB"/>
    <w:rsid w:val="5374EE24"/>
    <w:rsid w:val="53FA2FA8"/>
    <w:rsid w:val="54FF3BCC"/>
    <w:rsid w:val="557D9ECF"/>
    <w:rsid w:val="55F99D89"/>
    <w:rsid w:val="573F1038"/>
    <w:rsid w:val="57B7E648"/>
    <w:rsid w:val="58F76759"/>
    <w:rsid w:val="5973C00C"/>
    <w:rsid w:val="59FFC4F3"/>
    <w:rsid w:val="5A6FAE42"/>
    <w:rsid w:val="5A776AA3"/>
    <w:rsid w:val="5B39EBA4"/>
    <w:rsid w:val="5BBF1CDC"/>
    <w:rsid w:val="5BE68BF7"/>
    <w:rsid w:val="5BFE342A"/>
    <w:rsid w:val="5CFF352A"/>
    <w:rsid w:val="5E4CDFB6"/>
    <w:rsid w:val="5EBEEFC0"/>
    <w:rsid w:val="5EFFBEA2"/>
    <w:rsid w:val="5F2E7D49"/>
    <w:rsid w:val="5F768274"/>
    <w:rsid w:val="5F99DA51"/>
    <w:rsid w:val="5F9F6C26"/>
    <w:rsid w:val="5FD4451E"/>
    <w:rsid w:val="5FDF5A73"/>
    <w:rsid w:val="5FEF38CC"/>
    <w:rsid w:val="5FF1EB08"/>
    <w:rsid w:val="5FF21DE0"/>
    <w:rsid w:val="5FFB31E6"/>
    <w:rsid w:val="5FFF571C"/>
    <w:rsid w:val="637352B9"/>
    <w:rsid w:val="654C14F6"/>
    <w:rsid w:val="65F27303"/>
    <w:rsid w:val="666D3F75"/>
    <w:rsid w:val="677FBC24"/>
    <w:rsid w:val="67FFBF4B"/>
    <w:rsid w:val="68F9518A"/>
    <w:rsid w:val="6977EDB3"/>
    <w:rsid w:val="6A75668B"/>
    <w:rsid w:val="6B3F4ADD"/>
    <w:rsid w:val="6B7D957B"/>
    <w:rsid w:val="6BEC1C98"/>
    <w:rsid w:val="6CFCE3D3"/>
    <w:rsid w:val="6CFFB30A"/>
    <w:rsid w:val="6DD3758F"/>
    <w:rsid w:val="6DFE5D4A"/>
    <w:rsid w:val="6DFFE839"/>
    <w:rsid w:val="6E9C6EC0"/>
    <w:rsid w:val="6EF94EF5"/>
    <w:rsid w:val="6EFDC08B"/>
    <w:rsid w:val="6F57EB22"/>
    <w:rsid w:val="6F5C3931"/>
    <w:rsid w:val="6F77DA3A"/>
    <w:rsid w:val="6F8FC031"/>
    <w:rsid w:val="6FBBB34F"/>
    <w:rsid w:val="6FD60312"/>
    <w:rsid w:val="6FFE0186"/>
    <w:rsid w:val="717F52C7"/>
    <w:rsid w:val="72E59DFF"/>
    <w:rsid w:val="73B113BE"/>
    <w:rsid w:val="73E51091"/>
    <w:rsid w:val="747FF2FA"/>
    <w:rsid w:val="7495E065"/>
    <w:rsid w:val="74F5E5D1"/>
    <w:rsid w:val="758F298E"/>
    <w:rsid w:val="75FC982C"/>
    <w:rsid w:val="76BD040C"/>
    <w:rsid w:val="76F500C1"/>
    <w:rsid w:val="76FFDD06"/>
    <w:rsid w:val="775EA66A"/>
    <w:rsid w:val="777F7410"/>
    <w:rsid w:val="777FD20F"/>
    <w:rsid w:val="77ABB1CC"/>
    <w:rsid w:val="77C399EA"/>
    <w:rsid w:val="77D10738"/>
    <w:rsid w:val="77D5A17E"/>
    <w:rsid w:val="77D7C5FF"/>
    <w:rsid w:val="77DF7F1A"/>
    <w:rsid w:val="77FD4FD0"/>
    <w:rsid w:val="77FFBBC7"/>
    <w:rsid w:val="78BDAB83"/>
    <w:rsid w:val="79AB13BD"/>
    <w:rsid w:val="79FCB249"/>
    <w:rsid w:val="7A0FC212"/>
    <w:rsid w:val="7ADDD403"/>
    <w:rsid w:val="7B677857"/>
    <w:rsid w:val="7B6BFB9C"/>
    <w:rsid w:val="7B6FABD4"/>
    <w:rsid w:val="7B7739D7"/>
    <w:rsid w:val="7B7ED49D"/>
    <w:rsid w:val="7BDEF013"/>
    <w:rsid w:val="7BFF9DDC"/>
    <w:rsid w:val="7BFFA587"/>
    <w:rsid w:val="7BFFB2CA"/>
    <w:rsid w:val="7BFFF7EB"/>
    <w:rsid w:val="7C1F0669"/>
    <w:rsid w:val="7CAB4A0A"/>
    <w:rsid w:val="7CBE7E96"/>
    <w:rsid w:val="7CCBCEDB"/>
    <w:rsid w:val="7CECBAB3"/>
    <w:rsid w:val="7D5D14A7"/>
    <w:rsid w:val="7D6BECD1"/>
    <w:rsid w:val="7D777BCE"/>
    <w:rsid w:val="7D7DEE98"/>
    <w:rsid w:val="7D874357"/>
    <w:rsid w:val="7DB08E70"/>
    <w:rsid w:val="7DCE4010"/>
    <w:rsid w:val="7DD48DC0"/>
    <w:rsid w:val="7DDE8177"/>
    <w:rsid w:val="7DFBA503"/>
    <w:rsid w:val="7DFF1940"/>
    <w:rsid w:val="7E711D97"/>
    <w:rsid w:val="7EDA8563"/>
    <w:rsid w:val="7EF65449"/>
    <w:rsid w:val="7EFC4CAC"/>
    <w:rsid w:val="7EFDABAD"/>
    <w:rsid w:val="7EFF5E9A"/>
    <w:rsid w:val="7F26C175"/>
    <w:rsid w:val="7F3D7097"/>
    <w:rsid w:val="7F4EFF78"/>
    <w:rsid w:val="7F7FC340"/>
    <w:rsid w:val="7F9C5685"/>
    <w:rsid w:val="7FBAA519"/>
    <w:rsid w:val="7FC597DE"/>
    <w:rsid w:val="7FDBB314"/>
    <w:rsid w:val="7FDE885D"/>
    <w:rsid w:val="7FE1B88B"/>
    <w:rsid w:val="7FE80758"/>
    <w:rsid w:val="7FEE1147"/>
    <w:rsid w:val="7FF379E1"/>
    <w:rsid w:val="7FF493BC"/>
    <w:rsid w:val="7FF605C2"/>
    <w:rsid w:val="7FF608C7"/>
    <w:rsid w:val="7FF653B4"/>
    <w:rsid w:val="7FFA4FD9"/>
    <w:rsid w:val="7FFB3827"/>
    <w:rsid w:val="7FFB6A6D"/>
    <w:rsid w:val="7FFC823C"/>
    <w:rsid w:val="7FFD93E5"/>
    <w:rsid w:val="7FFF2BCD"/>
    <w:rsid w:val="7FFF53C4"/>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5:docId w15:val="{631A412A-437D-4CE2-8A05-1135339E52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iPriority="99" w:unhideWhenUsed="1" w:qFormat="1"/>
    <w:lsdException w:name="footnote text" w:semiHidden="1" w:unhideWhenUsed="1" w:qFormat="1"/>
    <w:lsdException w:name="annotation text" w:semiHidden="1" w:unhideWhenUsed="1"/>
    <w:lsdException w:name="header" w:semiHidden="1" w:uiPriority="99" w:unhideWhenUsed="1" w:qFormat="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qFormat="1"/>
    <w:lsdException w:name="Body Text First Indent 2" w:semiHidden="1" w:uiPriority="99" w:unhideWhenUsed="1" w:qFormat="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qFormat="1"/>
    <w:lsdException w:name="Plain Text" w:semiHidden="1" w:unhideWhenUsed="1" w:qFormat="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qFormat="1"/>
    <w:lsdException w:name="HTML Variable"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qFormat="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uiPriority w:val="99"/>
    <w:qFormat/>
    <w:pPr>
      <w:suppressAutoHyphens/>
      <w:ind w:firstLineChars="200" w:firstLine="420"/>
    </w:pPr>
    <w:rPr>
      <w:rFonts w:ascii="Calibri" w:hAnsi="Calibri"/>
    </w:rPr>
  </w:style>
  <w:style w:type="paragraph" w:styleId="a4">
    <w:name w:val="Document Map"/>
    <w:basedOn w:val="a"/>
    <w:link w:val="Char"/>
    <w:qFormat/>
    <w:rPr>
      <w:rFonts w:ascii="宋体"/>
      <w:sz w:val="18"/>
      <w:szCs w:val="18"/>
    </w:rPr>
  </w:style>
  <w:style w:type="paragraph" w:styleId="a5">
    <w:name w:val="Body Text"/>
    <w:basedOn w:val="a"/>
    <w:qFormat/>
    <w:pPr>
      <w:spacing w:line="590" w:lineRule="exact"/>
    </w:pPr>
    <w:rPr>
      <w:rFonts w:eastAsia="仿宋_GB2312"/>
      <w:spacing w:val="-6"/>
      <w:sz w:val="32"/>
      <w:szCs w:val="20"/>
    </w:rPr>
  </w:style>
  <w:style w:type="paragraph" w:styleId="a6">
    <w:name w:val="Body Text Indent"/>
    <w:basedOn w:val="a"/>
    <w:link w:val="Char0"/>
    <w:qFormat/>
    <w:pPr>
      <w:spacing w:line="530" w:lineRule="exact"/>
      <w:ind w:firstLine="600"/>
    </w:pPr>
    <w:rPr>
      <w:rFonts w:eastAsia="仿宋_GB2312"/>
      <w:spacing w:val="-10"/>
      <w:sz w:val="32"/>
      <w:szCs w:val="20"/>
    </w:rPr>
  </w:style>
  <w:style w:type="paragraph" w:styleId="a7">
    <w:name w:val="Plain Text"/>
    <w:basedOn w:val="a"/>
    <w:link w:val="Char1"/>
    <w:qFormat/>
    <w:rPr>
      <w:rFonts w:ascii="宋体" w:hAnsi="Courier New" w:cs="Courier New"/>
      <w:szCs w:val="21"/>
    </w:rPr>
  </w:style>
  <w:style w:type="paragraph" w:styleId="a8">
    <w:name w:val="Date"/>
    <w:basedOn w:val="a"/>
    <w:next w:val="a"/>
    <w:link w:val="Char2"/>
    <w:qFormat/>
    <w:pPr>
      <w:ind w:leftChars="2500" w:left="100"/>
    </w:pPr>
  </w:style>
  <w:style w:type="paragraph" w:styleId="a9">
    <w:name w:val="Balloon Text"/>
    <w:basedOn w:val="a"/>
    <w:link w:val="Char3"/>
    <w:uiPriority w:val="99"/>
    <w:unhideWhenUsed/>
    <w:qFormat/>
    <w:pPr>
      <w:widowControl/>
      <w:adjustRightInd w:val="0"/>
      <w:snapToGrid w:val="0"/>
      <w:jc w:val="left"/>
    </w:pPr>
    <w:rPr>
      <w:rFonts w:ascii="Tahoma" w:eastAsia="微软雅黑" w:hAnsi="Tahoma" w:cstheme="minorBidi"/>
      <w:kern w:val="0"/>
      <w:sz w:val="18"/>
      <w:szCs w:val="18"/>
    </w:rPr>
  </w:style>
  <w:style w:type="paragraph" w:styleId="aa">
    <w:name w:val="footer"/>
    <w:basedOn w:val="a"/>
    <w:link w:val="Char4"/>
    <w:uiPriority w:val="99"/>
    <w:qFormat/>
    <w:pPr>
      <w:tabs>
        <w:tab w:val="center" w:pos="4153"/>
        <w:tab w:val="right" w:pos="8306"/>
      </w:tabs>
      <w:snapToGrid w:val="0"/>
      <w:jc w:val="left"/>
    </w:pPr>
    <w:rPr>
      <w:sz w:val="18"/>
      <w:szCs w:val="18"/>
    </w:rPr>
  </w:style>
  <w:style w:type="paragraph" w:styleId="ab">
    <w:name w:val="header"/>
    <w:basedOn w:val="a"/>
    <w:link w:val="Char5"/>
    <w:uiPriority w:val="99"/>
    <w:qFormat/>
    <w:pPr>
      <w:pBdr>
        <w:bottom w:val="single" w:sz="6" w:space="1" w:color="auto"/>
      </w:pBdr>
      <w:tabs>
        <w:tab w:val="center" w:pos="4153"/>
        <w:tab w:val="right" w:pos="8306"/>
      </w:tabs>
      <w:snapToGrid w:val="0"/>
      <w:jc w:val="center"/>
    </w:pPr>
    <w:rPr>
      <w:sz w:val="18"/>
      <w:szCs w:val="18"/>
    </w:rPr>
  </w:style>
  <w:style w:type="paragraph" w:styleId="ac">
    <w:name w:val="footnote text"/>
    <w:basedOn w:val="a"/>
    <w:link w:val="Char6"/>
    <w:qFormat/>
    <w:pPr>
      <w:snapToGrid w:val="0"/>
      <w:jc w:val="left"/>
    </w:pPr>
    <w:rPr>
      <w:rFonts w:ascii="Calibri" w:hAnsi="Calibri"/>
      <w:sz w:val="18"/>
    </w:rPr>
  </w:style>
  <w:style w:type="paragraph" w:styleId="ad">
    <w:name w:val="Normal (Web)"/>
    <w:basedOn w:val="a"/>
    <w:qFormat/>
    <w:pPr>
      <w:spacing w:before="100" w:beforeAutospacing="1" w:after="100" w:afterAutospacing="1"/>
      <w:jc w:val="left"/>
    </w:pPr>
    <w:rPr>
      <w:rFonts w:ascii="Calibri" w:hAnsi="Calibri"/>
      <w:kern w:val="0"/>
      <w:sz w:val="24"/>
    </w:rPr>
  </w:style>
  <w:style w:type="paragraph" w:styleId="2">
    <w:name w:val="Body Text First Indent 2"/>
    <w:basedOn w:val="a6"/>
    <w:link w:val="2Char"/>
    <w:uiPriority w:val="99"/>
    <w:unhideWhenUsed/>
    <w:qFormat/>
    <w:pPr>
      <w:spacing w:after="120" w:line="240" w:lineRule="auto"/>
      <w:ind w:leftChars="200" w:left="420" w:firstLineChars="200" w:firstLine="420"/>
    </w:pPr>
    <w:rPr>
      <w:rFonts w:asciiTheme="minorHAnsi" w:eastAsiaTheme="minorEastAsia" w:hAnsiTheme="minorHAnsi" w:cstheme="minorBidi"/>
      <w:spacing w:val="0"/>
      <w:sz w:val="21"/>
      <w:szCs w:val="22"/>
    </w:rPr>
  </w:style>
  <w:style w:type="table" w:styleId="ae">
    <w:name w:val="Table Grid"/>
    <w:basedOn w:val="a1"/>
    <w:qFormat/>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
    <w:name w:val="Strong"/>
    <w:basedOn w:val="a0"/>
    <w:qFormat/>
    <w:rPr>
      <w:b/>
    </w:rPr>
  </w:style>
  <w:style w:type="character" w:styleId="af0">
    <w:name w:val="page number"/>
    <w:basedOn w:val="a0"/>
    <w:qFormat/>
  </w:style>
  <w:style w:type="character" w:styleId="HTML">
    <w:name w:val="HTML Typewriter"/>
    <w:unhideWhenUsed/>
    <w:qFormat/>
    <w:rPr>
      <w:rFonts w:ascii="黑体" w:eastAsia="黑体" w:hAnsi="Courier New" w:cs="Courier New" w:hint="eastAsia"/>
      <w:sz w:val="24"/>
      <w:szCs w:val="24"/>
    </w:rPr>
  </w:style>
  <w:style w:type="character" w:styleId="af1">
    <w:name w:val="footnote reference"/>
    <w:basedOn w:val="a0"/>
    <w:qFormat/>
    <w:rPr>
      <w:vertAlign w:val="superscript"/>
    </w:rPr>
  </w:style>
  <w:style w:type="paragraph" w:customStyle="1" w:styleId="Default">
    <w:name w:val="Default"/>
    <w:qFormat/>
    <w:pPr>
      <w:widowControl w:val="0"/>
      <w:autoSpaceDE w:val="0"/>
      <w:autoSpaceDN w:val="0"/>
      <w:adjustRightInd w:val="0"/>
    </w:pPr>
    <w:rPr>
      <w:rFonts w:ascii="仿宋_GB2312" w:eastAsia="仿宋_GB2312" w:hAnsi="Calibri" w:cs="仿宋_GB2312"/>
      <w:color w:val="000000"/>
      <w:sz w:val="24"/>
      <w:szCs w:val="24"/>
    </w:rPr>
  </w:style>
  <w:style w:type="character" w:customStyle="1" w:styleId="Char3">
    <w:name w:val="批注框文本 Char"/>
    <w:basedOn w:val="a0"/>
    <w:link w:val="a9"/>
    <w:uiPriority w:val="99"/>
    <w:qFormat/>
    <w:rPr>
      <w:rFonts w:ascii="Tahoma" w:eastAsia="微软雅黑" w:hAnsi="Tahoma" w:cstheme="minorBidi"/>
      <w:sz w:val="18"/>
      <w:szCs w:val="18"/>
    </w:rPr>
  </w:style>
  <w:style w:type="character" w:customStyle="1" w:styleId="Char5">
    <w:name w:val="页眉 Char"/>
    <w:basedOn w:val="a0"/>
    <w:link w:val="ab"/>
    <w:uiPriority w:val="99"/>
    <w:qFormat/>
    <w:rPr>
      <w:kern w:val="2"/>
      <w:sz w:val="18"/>
      <w:szCs w:val="18"/>
    </w:rPr>
  </w:style>
  <w:style w:type="character" w:customStyle="1" w:styleId="Char4">
    <w:name w:val="页脚 Char"/>
    <w:basedOn w:val="a0"/>
    <w:link w:val="aa"/>
    <w:uiPriority w:val="99"/>
    <w:qFormat/>
    <w:rPr>
      <w:kern w:val="2"/>
      <w:sz w:val="18"/>
      <w:szCs w:val="18"/>
    </w:rPr>
  </w:style>
  <w:style w:type="paragraph" w:customStyle="1" w:styleId="font5">
    <w:name w:val="font5"/>
    <w:basedOn w:val="a"/>
    <w:qFormat/>
    <w:pPr>
      <w:widowControl/>
      <w:spacing w:before="100" w:beforeAutospacing="1" w:after="100" w:afterAutospacing="1"/>
      <w:jc w:val="left"/>
    </w:pPr>
    <w:rPr>
      <w:rFonts w:ascii="宋体" w:hAnsi="宋体" w:cs="宋体"/>
      <w:kern w:val="0"/>
      <w:sz w:val="18"/>
      <w:szCs w:val="18"/>
    </w:rPr>
  </w:style>
  <w:style w:type="paragraph" w:customStyle="1" w:styleId="xl72">
    <w:name w:val="xl72"/>
    <w:basedOn w:val="a"/>
    <w:qFormat/>
    <w:pPr>
      <w:widowControl/>
      <w:spacing w:before="100" w:beforeAutospacing="1" w:after="100" w:afterAutospacing="1"/>
      <w:jc w:val="left"/>
    </w:pPr>
    <w:rPr>
      <w:rFonts w:ascii="宋体" w:hAnsi="宋体" w:cs="宋体"/>
      <w:b/>
      <w:bCs/>
      <w:color w:val="000000"/>
      <w:kern w:val="0"/>
      <w:sz w:val="24"/>
    </w:rPr>
  </w:style>
  <w:style w:type="paragraph" w:customStyle="1" w:styleId="xl73">
    <w:name w:val="xl73"/>
    <w:basedOn w:val="a"/>
    <w:qFormat/>
    <w:pPr>
      <w:widowControl/>
      <w:spacing w:before="100" w:beforeAutospacing="1" w:after="100" w:afterAutospacing="1"/>
      <w:jc w:val="left"/>
    </w:pPr>
    <w:rPr>
      <w:rFonts w:ascii="宋体" w:hAnsi="宋体" w:cs="宋体"/>
      <w:b/>
      <w:bCs/>
      <w:color w:val="FF0000"/>
      <w:kern w:val="0"/>
      <w:sz w:val="24"/>
    </w:rPr>
  </w:style>
  <w:style w:type="paragraph" w:customStyle="1" w:styleId="xl74">
    <w:name w:val="xl74"/>
    <w:basedOn w:val="a"/>
    <w:qFormat/>
    <w:pPr>
      <w:widowControl/>
      <w:spacing w:before="100" w:beforeAutospacing="1" w:after="100" w:afterAutospacing="1"/>
      <w:jc w:val="left"/>
    </w:pPr>
    <w:rPr>
      <w:rFonts w:ascii="宋体" w:hAnsi="宋体" w:cs="宋体"/>
      <w:color w:val="FF0000"/>
      <w:kern w:val="0"/>
      <w:sz w:val="24"/>
    </w:rPr>
  </w:style>
  <w:style w:type="paragraph" w:customStyle="1" w:styleId="xl75">
    <w:name w:val="xl75"/>
    <w:basedOn w:val="a"/>
    <w:qFormat/>
    <w:pPr>
      <w:widowControl/>
      <w:spacing w:before="100" w:beforeAutospacing="1" w:after="100" w:afterAutospacing="1"/>
      <w:jc w:val="center"/>
    </w:pPr>
    <w:rPr>
      <w:rFonts w:ascii="宋体" w:hAnsi="宋体" w:cs="宋体"/>
      <w:kern w:val="0"/>
      <w:sz w:val="24"/>
    </w:rPr>
  </w:style>
  <w:style w:type="paragraph" w:customStyle="1" w:styleId="xl76">
    <w:name w:val="xl76"/>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黑体" w:eastAsia="黑体" w:hAnsi="黑体" w:cs="宋体"/>
      <w:kern w:val="0"/>
      <w:sz w:val="36"/>
      <w:szCs w:val="36"/>
    </w:rPr>
  </w:style>
  <w:style w:type="paragraph" w:customStyle="1" w:styleId="xl77">
    <w:name w:val="xl77"/>
    <w:basedOn w:val="a"/>
    <w:qFormat/>
    <w:pPr>
      <w:widowControl/>
      <w:pBdr>
        <w:top w:val="single" w:sz="4" w:space="0" w:color="auto"/>
        <w:left w:val="single" w:sz="4" w:space="0" w:color="auto"/>
        <w:bottom w:val="single" w:sz="4" w:space="0" w:color="auto"/>
      </w:pBdr>
      <w:spacing w:before="100" w:beforeAutospacing="1" w:after="100" w:afterAutospacing="1"/>
      <w:jc w:val="center"/>
    </w:pPr>
    <w:rPr>
      <w:rFonts w:ascii="黑体" w:eastAsia="黑体" w:hAnsi="黑体" w:cs="宋体"/>
      <w:kern w:val="0"/>
      <w:sz w:val="36"/>
      <w:szCs w:val="36"/>
    </w:rPr>
  </w:style>
  <w:style w:type="paragraph" w:customStyle="1" w:styleId="xl78">
    <w:name w:val="xl78"/>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kern w:val="0"/>
      <w:sz w:val="32"/>
      <w:szCs w:val="32"/>
    </w:rPr>
  </w:style>
  <w:style w:type="paragraph" w:customStyle="1" w:styleId="xl79">
    <w:name w:val="xl79"/>
    <w:basedOn w:val="a"/>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仿宋_GB2312" w:eastAsia="仿宋_GB2312" w:hAnsi="宋体" w:cs="宋体"/>
      <w:kern w:val="0"/>
      <w:sz w:val="32"/>
      <w:szCs w:val="32"/>
    </w:rPr>
  </w:style>
  <w:style w:type="paragraph" w:customStyle="1" w:styleId="xl80">
    <w:name w:val="xl80"/>
    <w:basedOn w:val="a"/>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仿宋_GB2312" w:eastAsia="仿宋_GB2312" w:hAnsi="宋体" w:cs="宋体"/>
      <w:kern w:val="0"/>
      <w:sz w:val="32"/>
      <w:szCs w:val="32"/>
    </w:rPr>
  </w:style>
  <w:style w:type="paragraph" w:customStyle="1" w:styleId="xl81">
    <w:name w:val="xl81"/>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kern w:val="0"/>
      <w:sz w:val="32"/>
      <w:szCs w:val="32"/>
    </w:rPr>
  </w:style>
  <w:style w:type="character" w:customStyle="1" w:styleId="Char1">
    <w:name w:val="纯文本 Char"/>
    <w:link w:val="a7"/>
    <w:qFormat/>
    <w:rPr>
      <w:rFonts w:ascii="宋体" w:hAnsi="Courier New" w:cs="Courier New"/>
      <w:kern w:val="2"/>
      <w:sz w:val="21"/>
      <w:szCs w:val="21"/>
    </w:rPr>
  </w:style>
  <w:style w:type="character" w:customStyle="1" w:styleId="Char10">
    <w:name w:val="纯文本 Char1"/>
    <w:basedOn w:val="a0"/>
    <w:qFormat/>
    <w:rPr>
      <w:rFonts w:ascii="宋体" w:hAnsi="Consolas"/>
      <w:kern w:val="2"/>
      <w:sz w:val="21"/>
      <w:szCs w:val="21"/>
    </w:rPr>
  </w:style>
  <w:style w:type="character" w:customStyle="1" w:styleId="Char2">
    <w:name w:val="日期 Char"/>
    <w:basedOn w:val="a0"/>
    <w:link w:val="a8"/>
    <w:qFormat/>
    <w:rPr>
      <w:kern w:val="2"/>
      <w:sz w:val="21"/>
      <w:szCs w:val="24"/>
    </w:rPr>
  </w:style>
  <w:style w:type="character" w:customStyle="1" w:styleId="Char">
    <w:name w:val="文档结构图 Char"/>
    <w:basedOn w:val="a0"/>
    <w:link w:val="a4"/>
    <w:qFormat/>
    <w:rPr>
      <w:rFonts w:ascii="宋体"/>
      <w:kern w:val="2"/>
      <w:sz w:val="18"/>
      <w:szCs w:val="18"/>
    </w:rPr>
  </w:style>
  <w:style w:type="character" w:customStyle="1" w:styleId="Char6">
    <w:name w:val="脚注文本 Char"/>
    <w:basedOn w:val="a0"/>
    <w:link w:val="ac"/>
    <w:qFormat/>
    <w:rPr>
      <w:rFonts w:ascii="Calibri" w:hAnsi="Calibri"/>
      <w:kern w:val="2"/>
      <w:sz w:val="18"/>
      <w:szCs w:val="24"/>
    </w:rPr>
  </w:style>
  <w:style w:type="character" w:customStyle="1" w:styleId="Char0">
    <w:name w:val="正文文本缩进 Char"/>
    <w:basedOn w:val="a0"/>
    <w:link w:val="a6"/>
    <w:qFormat/>
    <w:rPr>
      <w:rFonts w:eastAsia="仿宋_GB2312"/>
      <w:spacing w:val="-10"/>
      <w:kern w:val="2"/>
      <w:sz w:val="32"/>
    </w:rPr>
  </w:style>
  <w:style w:type="character" w:customStyle="1" w:styleId="2Char">
    <w:name w:val="正文首行缩进 2 Char"/>
    <w:basedOn w:val="Char0"/>
    <w:link w:val="2"/>
    <w:uiPriority w:val="99"/>
    <w:qFormat/>
    <w:rPr>
      <w:rFonts w:asciiTheme="minorHAnsi" w:eastAsiaTheme="minorEastAsia" w:hAnsiTheme="minorHAnsi" w:cstheme="minorBidi"/>
      <w:spacing w:val="-10"/>
      <w:kern w:val="2"/>
      <w:sz w:val="21"/>
      <w:szCs w:val="22"/>
    </w:rPr>
  </w:style>
  <w:style w:type="paragraph" w:styleId="af2">
    <w:name w:val="List Paragraph"/>
    <w:basedOn w:val="a"/>
    <w:uiPriority w:val="34"/>
    <w:qFormat/>
    <w:pPr>
      <w:ind w:firstLineChars="200" w:firstLine="420"/>
    </w:pPr>
    <w:rPr>
      <w:rFonts w:asciiTheme="minorHAnsi" w:eastAsiaTheme="minorEastAsia" w:hAnsiTheme="minorHAnsi" w:cstheme="minorBidi"/>
      <w:szCs w:val="22"/>
    </w:rPr>
  </w:style>
  <w:style w:type="paragraph" w:customStyle="1" w:styleId="BodyText1I">
    <w:name w:val="BodyText1I"/>
    <w:basedOn w:val="a"/>
    <w:qFormat/>
    <w:pPr>
      <w:suppressAutoHyphens/>
      <w:spacing w:after="140" w:line="276" w:lineRule="auto"/>
      <w:ind w:firstLineChars="100" w:firstLine="420"/>
      <w:textAlignment w:val="baseline"/>
    </w:pPr>
    <w:rPr>
      <w:rFonts w:ascii="Calibri" w:hAnsi="Calibri"/>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2.xml"/><Relationship Id="rId13" Type="http://schemas.openxmlformats.org/officeDocument/2006/relationships/chart" Target="charts/chart7.xml"/><Relationship Id="rId18" Type="http://schemas.openxmlformats.org/officeDocument/2006/relationships/chart" Target="charts/chart12.xml"/><Relationship Id="rId26" Type="http://schemas.openxmlformats.org/officeDocument/2006/relationships/header" Target="header2.xml"/><Relationship Id="rId3" Type="http://schemas.openxmlformats.org/officeDocument/2006/relationships/settings" Target="settings.xml"/><Relationship Id="rId21" Type="http://schemas.openxmlformats.org/officeDocument/2006/relationships/chart" Target="charts/chart15.xml"/><Relationship Id="rId7" Type="http://schemas.openxmlformats.org/officeDocument/2006/relationships/chart" Target="charts/chart1.xml"/><Relationship Id="rId12" Type="http://schemas.openxmlformats.org/officeDocument/2006/relationships/chart" Target="charts/chart6.xml"/><Relationship Id="rId17" Type="http://schemas.openxmlformats.org/officeDocument/2006/relationships/chart" Target="charts/chart11.xml"/><Relationship Id="rId25" Type="http://schemas.openxmlformats.org/officeDocument/2006/relationships/header" Target="header1.xml"/><Relationship Id="rId2" Type="http://schemas.openxmlformats.org/officeDocument/2006/relationships/styles" Target="styles.xml"/><Relationship Id="rId16" Type="http://schemas.openxmlformats.org/officeDocument/2006/relationships/chart" Target="charts/chart10.xml"/><Relationship Id="rId20" Type="http://schemas.openxmlformats.org/officeDocument/2006/relationships/chart" Target="charts/chart14.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chart" Target="charts/chart5.xml"/><Relationship Id="rId24" Type="http://schemas.openxmlformats.org/officeDocument/2006/relationships/chart" Target="charts/chart18.xml"/><Relationship Id="rId5" Type="http://schemas.openxmlformats.org/officeDocument/2006/relationships/footnotes" Target="footnotes.xml"/><Relationship Id="rId15" Type="http://schemas.openxmlformats.org/officeDocument/2006/relationships/chart" Target="charts/chart9.xml"/><Relationship Id="rId23" Type="http://schemas.openxmlformats.org/officeDocument/2006/relationships/chart" Target="charts/chart17.xml"/><Relationship Id="rId28" Type="http://schemas.openxmlformats.org/officeDocument/2006/relationships/footer" Target="footer2.xml"/><Relationship Id="rId10" Type="http://schemas.openxmlformats.org/officeDocument/2006/relationships/chart" Target="charts/chart4.xml"/><Relationship Id="rId19" Type="http://schemas.openxmlformats.org/officeDocument/2006/relationships/chart" Target="charts/chart13.xml"/><Relationship Id="rId4" Type="http://schemas.openxmlformats.org/officeDocument/2006/relationships/webSettings" Target="webSettings.xml"/><Relationship Id="rId9" Type="http://schemas.openxmlformats.org/officeDocument/2006/relationships/chart" Target="charts/chart3.xml"/><Relationship Id="rId14" Type="http://schemas.openxmlformats.org/officeDocument/2006/relationships/chart" Target="charts/chart8.xml"/><Relationship Id="rId22" Type="http://schemas.openxmlformats.org/officeDocument/2006/relationships/chart" Target="charts/chart16.xml"/><Relationship Id="rId27" Type="http://schemas.openxmlformats.org/officeDocument/2006/relationships/footer" Target="footer1.xml"/><Relationship Id="rId30" Type="http://schemas.openxmlformats.org/officeDocument/2006/relationships/theme" Target="theme/theme1.xml"/></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E:\2025&#24180;&#32479;&#35745;&#20844;&#25253;\&#22270;&#34920;.xls" TargetMode="External"/></Relationships>
</file>

<file path=word/charts/_rels/chart2.xml.rels><?xml version="1.0" encoding="UTF-8" standalone="yes"?>
<Relationships xmlns="http://schemas.openxmlformats.org/package/2006/relationships"><Relationship Id="rId2" Type="http://schemas.openxmlformats.org/officeDocument/2006/relationships/chartUserShapes" Target="../drawings/drawing2.xml"/><Relationship Id="rId1" Type="http://schemas.openxmlformats.org/officeDocument/2006/relationships/oleObject" Target="file:///E:\2025&#24180;&#32479;&#35745;&#20844;&#25253;\&#22270;&#34920;.xls" TargetMode="External"/></Relationships>
</file>

<file path=word/charts/_rels/chart3.xml.rels><?xml version="1.0" encoding="UTF-8" standalone="yes"?>
<Relationships xmlns="http://schemas.openxmlformats.org/package/2006/relationships"><Relationship Id="rId2" Type="http://schemas.openxmlformats.org/officeDocument/2006/relationships/chartUserShapes" Target="../drawings/drawing3.xml"/><Relationship Id="rId1" Type="http://schemas.openxmlformats.org/officeDocument/2006/relationships/oleObject" Target="file:///E:\2025&#24180;&#32479;&#35745;&#20844;&#25253;\&#22270;&#34920;.xls"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E:\2025&#24180;&#32479;&#35745;&#20844;&#25253;\&#22270;&#34920;.xls" TargetMode="External"/></Relationships>
</file>

<file path=word/charts/_rels/chart5.xml.rels><?xml version="1.0" encoding="UTF-8" standalone="yes"?>
<Relationships xmlns="http://schemas.openxmlformats.org/package/2006/relationships"><Relationship Id="rId2" Type="http://schemas.openxmlformats.org/officeDocument/2006/relationships/chartUserShapes" Target="../drawings/drawing4.xml"/><Relationship Id="rId1" Type="http://schemas.openxmlformats.org/officeDocument/2006/relationships/oleObject" Target="file:///E:\2025&#24180;&#32479;&#35745;&#20844;&#25253;\&#22270;&#34920;.xls" TargetMode="External"/></Relationships>
</file>

<file path=word/charts/_rels/chart6.xml.rels><?xml version="1.0" encoding="UTF-8" standalone="yes"?>
<Relationships xmlns="http://schemas.openxmlformats.org/package/2006/relationships"><Relationship Id="rId2" Type="http://schemas.openxmlformats.org/officeDocument/2006/relationships/chartUserShapes" Target="../drawings/drawing5.xml"/><Relationship Id="rId1" Type="http://schemas.openxmlformats.org/officeDocument/2006/relationships/oleObject" Target="file:///E:\2025&#24180;&#32479;&#35745;&#20844;&#25253;\&#22270;&#34920;.xls" TargetMode="External"/></Relationships>
</file>

<file path=word/charts/_rels/chart7.xml.rels><?xml version="1.0" encoding="UTF-8" standalone="yes"?>
<Relationships xmlns="http://schemas.openxmlformats.org/package/2006/relationships"><Relationship Id="rId2" Type="http://schemas.openxmlformats.org/officeDocument/2006/relationships/chartUserShapes" Target="../drawings/drawing6.xml"/><Relationship Id="rId1" Type="http://schemas.openxmlformats.org/officeDocument/2006/relationships/oleObject" Target="file:///E:\2025&#24180;&#32479;&#35745;&#20844;&#25253;\&#22270;&#34920;.xls" TargetMode="External"/></Relationships>
</file>

<file path=word/charts/_rels/chart8.xml.rels><?xml version="1.0" encoding="UTF-8" standalone="yes"?>
<Relationships xmlns="http://schemas.openxmlformats.org/package/2006/relationships"><Relationship Id="rId2" Type="http://schemas.openxmlformats.org/officeDocument/2006/relationships/chartUserShapes" Target="../drawings/drawing7.xml"/><Relationship Id="rId1" Type="http://schemas.openxmlformats.org/officeDocument/2006/relationships/oleObject" Target="file:///E:\2025&#24180;&#32479;&#35745;&#20844;&#25253;\&#22270;&#34920;.xls" TargetMode="External"/></Relationships>
</file>

<file path=word/charts/_rels/chart9.xml.rels><?xml version="1.0" encoding="UTF-8" standalone="yes"?>
<Relationships xmlns="http://schemas.openxmlformats.org/package/2006/relationships"><Relationship Id="rId2" Type="http://schemas.openxmlformats.org/officeDocument/2006/relationships/chartUserShapes" Target="../drawings/drawing8.xml"/><Relationship Id="rId1" Type="http://schemas.openxmlformats.org/officeDocument/2006/relationships/oleObject" Target="file:///E:\2025&#24180;&#32479;&#35745;&#20844;&#25253;\&#22270;&#34920;.xls" TargetMode="External"/></Relationships>
</file>

<file path=word/charts/_rels/chart10.xml.rels><?xml version="1.0" encoding="UTF-8" standalone="yes"?>
<Relationships xmlns="http://schemas.openxmlformats.org/package/2006/relationships"><Relationship Id="rId2" Type="http://schemas.openxmlformats.org/officeDocument/2006/relationships/chartUserShapes" Target="../drawings/drawing9.xml"/><Relationship Id="rId1" Type="http://schemas.openxmlformats.org/officeDocument/2006/relationships/oleObject" Target="file:///E:\2025&#24180;&#32479;&#35745;&#20844;&#25253;\&#22270;&#34920;.xls" TargetMode="External"/></Relationships>
</file>

<file path=word/charts/_rels/chart11.xml.rels><?xml version="1.0" encoding="UTF-8" standalone="yes"?>
<Relationships xmlns="http://schemas.openxmlformats.org/package/2006/relationships"><Relationship Id="rId2" Type="http://schemas.openxmlformats.org/officeDocument/2006/relationships/chartUserShapes" Target="../drawings/drawing10.xml"/><Relationship Id="rId1" Type="http://schemas.openxmlformats.org/officeDocument/2006/relationships/oleObject" Target="file:///E:\2025&#24180;&#32479;&#35745;&#20844;&#25253;\&#22270;&#34920;.xls" TargetMode="External"/></Relationships>
</file>

<file path=word/charts/_rels/chart12.xml.rels><?xml version="1.0" encoding="UTF-8" standalone="yes"?>
<Relationships xmlns="http://schemas.openxmlformats.org/package/2006/relationships"><Relationship Id="rId2" Type="http://schemas.openxmlformats.org/officeDocument/2006/relationships/chartUserShapes" Target="../drawings/drawing11.xml"/><Relationship Id="rId1" Type="http://schemas.openxmlformats.org/officeDocument/2006/relationships/oleObject" Target="file:///E:\2025&#24180;&#32479;&#35745;&#20844;&#25253;\&#22270;&#34920;.xls" TargetMode="External"/></Relationships>
</file>

<file path=word/charts/_rels/chart13.xml.rels><?xml version="1.0" encoding="UTF-8" standalone="yes"?>
<Relationships xmlns="http://schemas.openxmlformats.org/package/2006/relationships"><Relationship Id="rId2" Type="http://schemas.openxmlformats.org/officeDocument/2006/relationships/chartUserShapes" Target="../drawings/drawing12.xml"/><Relationship Id="rId1" Type="http://schemas.openxmlformats.org/officeDocument/2006/relationships/oleObject" Target="file:///E:\2025&#24180;&#32479;&#35745;&#20844;&#25253;\&#22270;&#34920;.xls" TargetMode="External"/></Relationships>
</file>

<file path=word/charts/_rels/chart14.xml.rels><?xml version="1.0" encoding="UTF-8" standalone="yes"?>
<Relationships xmlns="http://schemas.openxmlformats.org/package/2006/relationships"><Relationship Id="rId2" Type="http://schemas.openxmlformats.org/officeDocument/2006/relationships/chartUserShapes" Target="../drawings/drawing13.xml"/><Relationship Id="rId1" Type="http://schemas.openxmlformats.org/officeDocument/2006/relationships/oleObject" Target="file:///E:\2025&#24180;&#32479;&#35745;&#20844;&#25253;\&#22270;&#34920;.xls" TargetMode="External"/></Relationships>
</file>

<file path=word/charts/_rels/chart15.xml.rels><?xml version="1.0" encoding="UTF-8" standalone="yes"?>
<Relationships xmlns="http://schemas.openxmlformats.org/package/2006/relationships"><Relationship Id="rId1" Type="http://schemas.openxmlformats.org/officeDocument/2006/relationships/oleObject" Target="file:///E:\2025&#24180;&#32479;&#35745;&#20844;&#25253;\&#22270;&#34920;.xls" TargetMode="External"/></Relationships>
</file>

<file path=word/charts/_rels/chart16.xml.rels><?xml version="1.0" encoding="UTF-8" standalone="yes"?>
<Relationships xmlns="http://schemas.openxmlformats.org/package/2006/relationships"><Relationship Id="rId2" Type="http://schemas.openxmlformats.org/officeDocument/2006/relationships/chartUserShapes" Target="../drawings/drawing14.xml"/><Relationship Id="rId1" Type="http://schemas.openxmlformats.org/officeDocument/2006/relationships/oleObject" Target="file:///E:\2025&#24180;&#32479;&#35745;&#20844;&#25253;\&#22270;&#34920;.xls" TargetMode="External"/></Relationships>
</file>

<file path=word/charts/_rels/chart17.xml.rels><?xml version="1.0" encoding="UTF-8" standalone="yes"?>
<Relationships xmlns="http://schemas.openxmlformats.org/package/2006/relationships"><Relationship Id="rId2" Type="http://schemas.openxmlformats.org/officeDocument/2006/relationships/chartUserShapes" Target="../drawings/drawing15.xml"/><Relationship Id="rId1" Type="http://schemas.openxmlformats.org/officeDocument/2006/relationships/oleObject" Target="file:///E:\2025&#24180;&#32479;&#35745;&#20844;&#25253;\&#22270;&#34920;.xls" TargetMode="External"/></Relationships>
</file>

<file path=word/charts/_rels/chart18.xml.rels><?xml version="1.0" encoding="UTF-8" standalone="yes"?>
<Relationships xmlns="http://schemas.openxmlformats.org/package/2006/relationships"><Relationship Id="rId2" Type="http://schemas.openxmlformats.org/officeDocument/2006/relationships/chartUserShapes" Target="../drawings/drawing16.xml"/><Relationship Id="rId1" Type="http://schemas.openxmlformats.org/officeDocument/2006/relationships/oleObject" Target="file:///E:\2025&#24180;&#32479;&#35745;&#20844;&#25253;\&#22270;&#34920;.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2939370078740156"/>
          <c:y val="0.10516185476815398"/>
          <c:w val="0.78392344706911632"/>
          <c:h val="0.71460885097696125"/>
        </c:manualLayout>
      </c:layout>
      <c:barChart>
        <c:barDir val="col"/>
        <c:grouping val="clustered"/>
        <c:varyColors val="0"/>
        <c:ser>
          <c:idx val="0"/>
          <c:order val="0"/>
          <c:tx>
            <c:strRef>
              <c:f>农业!$A$2</c:f>
              <c:strCache>
                <c:ptCount val="1"/>
                <c:pt idx="0">
                  <c:v>绝对值（亿元）</c:v>
                </c:pt>
              </c:strCache>
            </c:strRef>
          </c:tx>
          <c:spPr>
            <a:solidFill>
              <a:schemeClr val="accent1"/>
            </a:solidFill>
          </c:spPr>
          <c:invertIfNegative val="0"/>
          <c:dLbls>
            <c:dLbl>
              <c:idx val="0"/>
              <c:layout>
                <c:manualLayout>
                  <c:x val="2.7952480782669461E-3"/>
                  <c:y val="-1.3071895424836682E-2"/>
                </c:manualLayout>
              </c:layout>
              <c:dLblPos val="outEnd"/>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a:lstStyle/>
              <a:p>
                <a:pPr>
                  <a:defRPr sz="1200" b="1" i="0" u="none" strike="noStrike" baseline="0">
                    <a:solidFill>
                      <a:srgbClr val="000000"/>
                    </a:solidFill>
                    <a:latin typeface="宋体"/>
                    <a:ea typeface="宋体"/>
                    <a:cs typeface="宋体"/>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农业!$G$1:$K$1</c:f>
              <c:strCache>
                <c:ptCount val="5"/>
                <c:pt idx="0">
                  <c:v>2021年</c:v>
                </c:pt>
                <c:pt idx="1">
                  <c:v>2022年</c:v>
                </c:pt>
                <c:pt idx="2">
                  <c:v>2023年</c:v>
                </c:pt>
                <c:pt idx="3">
                  <c:v>2024年</c:v>
                </c:pt>
                <c:pt idx="4">
                  <c:v>2025年</c:v>
                </c:pt>
              </c:strCache>
            </c:strRef>
          </c:cat>
          <c:val>
            <c:numRef>
              <c:f>农业!$G$2:$K$2</c:f>
              <c:numCache>
                <c:formatCode>General</c:formatCode>
                <c:ptCount val="5"/>
                <c:pt idx="0">
                  <c:v>25.09</c:v>
                </c:pt>
                <c:pt idx="1">
                  <c:v>27.43</c:v>
                </c:pt>
                <c:pt idx="2">
                  <c:v>26.72</c:v>
                </c:pt>
                <c:pt idx="3">
                  <c:v>28.93</c:v>
                </c:pt>
                <c:pt idx="4">
                  <c:v>29.53</c:v>
                </c:pt>
              </c:numCache>
            </c:numRef>
          </c:val>
        </c:ser>
        <c:dLbls>
          <c:showLegendKey val="0"/>
          <c:showVal val="0"/>
          <c:showCatName val="0"/>
          <c:showSerName val="0"/>
          <c:showPercent val="0"/>
          <c:showBubbleSize val="0"/>
        </c:dLbls>
        <c:gapWidth val="75"/>
        <c:axId val="666876064"/>
        <c:axId val="678930448"/>
      </c:barChart>
      <c:lineChart>
        <c:grouping val="standard"/>
        <c:varyColors val="0"/>
        <c:ser>
          <c:idx val="1"/>
          <c:order val="1"/>
          <c:tx>
            <c:strRef>
              <c:f>农业!$A$3</c:f>
              <c:strCache>
                <c:ptCount val="1"/>
                <c:pt idx="0">
                  <c:v>增幅</c:v>
                </c:pt>
              </c:strCache>
            </c:strRef>
          </c:tx>
          <c:marker>
            <c:symbol val="square"/>
            <c:size val="7"/>
          </c:marker>
          <c:dLbls>
            <c:dLbl>
              <c:idx val="0"/>
              <c:layout>
                <c:manualLayout>
                  <c:x val="-6.3951754458365664E-2"/>
                  <c:y val="-4.5409225807558372E-2"/>
                </c:manualLayout>
              </c:layout>
              <c:dLblPos val="r"/>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a:lstStyle/>
              <a:p>
                <a:pPr>
                  <a:defRPr sz="1000" b="1" i="0" u="none" strike="noStrike" baseline="0">
                    <a:solidFill>
                      <a:srgbClr val="000000"/>
                    </a:solidFill>
                    <a:latin typeface="宋体"/>
                    <a:ea typeface="宋体"/>
                    <a:cs typeface="宋体"/>
                  </a:defRPr>
                </a:pPr>
                <a:endParaRPr lang="zh-CN"/>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农业!#REF!</c:f>
              <c:numCache>
                <c:formatCode>General</c:formatCode>
                <c:ptCount val="5"/>
                <c:pt idx="0">
                  <c:v>0</c:v>
                </c:pt>
                <c:pt idx="1">
                  <c:v>0</c:v>
                </c:pt>
                <c:pt idx="2">
                  <c:v>0</c:v>
                </c:pt>
                <c:pt idx="3">
                  <c:v>0</c:v>
                </c:pt>
                <c:pt idx="4">
                  <c:v>0</c:v>
                </c:pt>
              </c:numCache>
            </c:numRef>
          </c:cat>
          <c:val>
            <c:numRef>
              <c:f>农业!$G$3:$K$3</c:f>
              <c:numCache>
                <c:formatCode>0.0%</c:formatCode>
                <c:ptCount val="5"/>
                <c:pt idx="0">
                  <c:v>7.2000000000000008E-2</c:v>
                </c:pt>
                <c:pt idx="1">
                  <c:v>1.7000000000000001E-2</c:v>
                </c:pt>
                <c:pt idx="2">
                  <c:v>4.7E-2</c:v>
                </c:pt>
                <c:pt idx="3">
                  <c:v>4.4999999999999998E-2</c:v>
                </c:pt>
                <c:pt idx="4">
                  <c:v>4.2999999999999997E-2</c:v>
                </c:pt>
              </c:numCache>
            </c:numRef>
          </c:val>
          <c:smooth val="0"/>
        </c:ser>
        <c:dLbls>
          <c:showLegendKey val="0"/>
          <c:showVal val="0"/>
          <c:showCatName val="0"/>
          <c:showSerName val="0"/>
          <c:showPercent val="0"/>
          <c:showBubbleSize val="0"/>
        </c:dLbls>
        <c:marker val="1"/>
        <c:smooth val="0"/>
        <c:axId val="702628496"/>
        <c:axId val="702628888"/>
      </c:lineChart>
      <c:catAx>
        <c:axId val="666876064"/>
        <c:scaling>
          <c:orientation val="minMax"/>
        </c:scaling>
        <c:delete val="0"/>
        <c:axPos val="b"/>
        <c:numFmt formatCode="General" sourceLinked="1"/>
        <c:majorTickMark val="none"/>
        <c:minorTickMark val="none"/>
        <c:tickLblPos val="nextTo"/>
        <c:txPr>
          <a:bodyPr rot="0" vert="horz"/>
          <a:lstStyle/>
          <a:p>
            <a:pPr>
              <a:defRPr sz="1000" b="0" i="0" u="none" strike="noStrike" baseline="0">
                <a:solidFill>
                  <a:srgbClr val="000000"/>
                </a:solidFill>
                <a:latin typeface="宋体"/>
                <a:ea typeface="宋体"/>
                <a:cs typeface="宋体"/>
              </a:defRPr>
            </a:pPr>
            <a:endParaRPr lang="zh-CN"/>
          </a:p>
        </c:txPr>
        <c:crossAx val="678930448"/>
        <c:crosses val="autoZero"/>
        <c:auto val="1"/>
        <c:lblAlgn val="ctr"/>
        <c:lblOffset val="100"/>
        <c:tickMarkSkip val="1"/>
        <c:noMultiLvlLbl val="0"/>
      </c:catAx>
      <c:valAx>
        <c:axId val="678930448"/>
        <c:scaling>
          <c:orientation val="minMax"/>
          <c:max val="30"/>
          <c:min val="20"/>
        </c:scaling>
        <c:delete val="0"/>
        <c:axPos val="l"/>
        <c:numFmt formatCode="General" sourceLinked="1"/>
        <c:majorTickMark val="in"/>
        <c:minorTickMark val="none"/>
        <c:tickLblPos val="nextTo"/>
        <c:txPr>
          <a:bodyPr rot="0" vert="horz"/>
          <a:lstStyle/>
          <a:p>
            <a:pPr>
              <a:defRPr sz="1100" b="1" i="0" u="none" strike="noStrike" baseline="0">
                <a:solidFill>
                  <a:srgbClr val="000000"/>
                </a:solidFill>
                <a:latin typeface="宋体"/>
                <a:ea typeface="宋体"/>
                <a:cs typeface="宋体"/>
              </a:defRPr>
            </a:pPr>
            <a:endParaRPr lang="zh-CN"/>
          </a:p>
        </c:txPr>
        <c:crossAx val="666876064"/>
        <c:crosses val="autoZero"/>
        <c:crossBetween val="between"/>
        <c:majorUnit val="2"/>
      </c:valAx>
      <c:catAx>
        <c:axId val="702628496"/>
        <c:scaling>
          <c:orientation val="minMax"/>
        </c:scaling>
        <c:delete val="1"/>
        <c:axPos val="b"/>
        <c:numFmt formatCode="General" sourceLinked="1"/>
        <c:majorTickMark val="out"/>
        <c:minorTickMark val="none"/>
        <c:tickLblPos val="nextTo"/>
        <c:crossAx val="702628888"/>
        <c:crosses val="autoZero"/>
        <c:auto val="1"/>
        <c:lblAlgn val="ctr"/>
        <c:lblOffset val="100"/>
        <c:noMultiLvlLbl val="0"/>
      </c:catAx>
      <c:valAx>
        <c:axId val="702628888"/>
        <c:scaling>
          <c:orientation val="minMax"/>
          <c:max val="0.2"/>
        </c:scaling>
        <c:delete val="0"/>
        <c:axPos val="r"/>
        <c:numFmt formatCode="0%" sourceLinked="0"/>
        <c:majorTickMark val="in"/>
        <c:minorTickMark val="none"/>
        <c:tickLblPos val="nextTo"/>
        <c:txPr>
          <a:bodyPr rot="0" vert="horz"/>
          <a:lstStyle/>
          <a:p>
            <a:pPr>
              <a:defRPr sz="1000" b="1" i="0" u="none" strike="noStrike" baseline="0">
                <a:solidFill>
                  <a:srgbClr val="000000"/>
                </a:solidFill>
                <a:latin typeface="宋体"/>
                <a:ea typeface="宋体"/>
                <a:cs typeface="宋体"/>
              </a:defRPr>
            </a:pPr>
            <a:endParaRPr lang="zh-CN"/>
          </a:p>
        </c:txPr>
        <c:crossAx val="702628496"/>
        <c:crosses val="max"/>
        <c:crossBetween val="between"/>
        <c:majorUnit val="5.000000000000001E-2"/>
      </c:valAx>
    </c:plotArea>
    <c:legend>
      <c:legendPos val="b"/>
      <c:layout>
        <c:manualLayout>
          <c:xMode val="edge"/>
          <c:yMode val="edge"/>
          <c:x val="0.28111105608654263"/>
          <c:y val="0.90239390530729113"/>
          <c:w val="0.46000011004913699"/>
          <c:h val="8.3717148992739521E-2"/>
        </c:manualLayout>
      </c:layout>
      <c:overlay val="0"/>
      <c:txPr>
        <a:bodyPr/>
        <a:lstStyle/>
        <a:p>
          <a:pPr>
            <a:defRPr sz="920" b="0" i="0" u="none" strike="noStrike" baseline="0">
              <a:solidFill>
                <a:srgbClr val="000000"/>
              </a:solidFill>
              <a:latin typeface="宋体"/>
              <a:ea typeface="宋体"/>
              <a:cs typeface="宋体"/>
            </a:defRPr>
          </a:pPr>
          <a:endParaRPr lang="zh-CN"/>
        </a:p>
      </c:txPr>
    </c:legend>
    <c:plotVisOnly val="1"/>
    <c:dispBlanksAs val="gap"/>
    <c:showDLblsOverMax val="0"/>
  </c:chart>
  <c:txPr>
    <a:bodyPr/>
    <a:lstStyle/>
    <a:p>
      <a:pPr>
        <a:defRPr sz="1000" b="0" i="0" u="none" strike="noStrike" baseline="0">
          <a:solidFill>
            <a:srgbClr val="000000"/>
          </a:solidFill>
          <a:latin typeface="宋体"/>
          <a:ea typeface="宋体"/>
          <a:cs typeface="宋体"/>
        </a:defRPr>
      </a:pPr>
      <a:endParaRPr lang="zh-CN"/>
    </a:p>
  </c:txPr>
  <c:externalData r:id="rId1">
    <c:autoUpdate val="0"/>
  </c:externalData>
  <c:userShapes r:id="rId2"/>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工业总产值!$A$13</c:f>
              <c:strCache>
                <c:ptCount val="1"/>
                <c:pt idx="0">
                  <c:v>增幅</c:v>
                </c:pt>
              </c:strCache>
            </c:strRef>
          </c:tx>
          <c:dLbls>
            <c:dLbl>
              <c:idx val="0"/>
              <c:layout>
                <c:manualLayout>
                  <c:x val="-0.1"/>
                  <c:y val="1.8518518518518517E-2"/>
                </c:manualLayout>
              </c:layout>
              <c:showLegendKey val="0"/>
              <c:showVal val="1"/>
              <c:showCatName val="0"/>
              <c:showSerName val="0"/>
              <c:showPercent val="0"/>
              <c:showBubbleSize val="0"/>
              <c:extLst>
                <c:ext xmlns:c15="http://schemas.microsoft.com/office/drawing/2012/chart" uri="{CE6537A1-D6FC-4f65-9D91-7224C49458BB}"/>
              </c:extLst>
            </c:dLbl>
            <c:dLbl>
              <c:idx val="1"/>
              <c:layout>
                <c:manualLayout>
                  <c:x val="-1.1111111111111112E-2"/>
                  <c:y val="-7.4074074074074112E-2"/>
                </c:manualLayout>
              </c:layout>
              <c:showLegendKey val="0"/>
              <c:showVal val="1"/>
              <c:showCatName val="0"/>
              <c:showSerName val="0"/>
              <c:showPercent val="0"/>
              <c:showBubbleSize val="0"/>
              <c:extLst>
                <c:ext xmlns:c15="http://schemas.microsoft.com/office/drawing/2012/chart" uri="{CE6537A1-D6FC-4f65-9D91-7224C49458BB}"/>
              </c:extLst>
            </c:dLbl>
            <c:dLbl>
              <c:idx val="2"/>
              <c:layout>
                <c:manualLayout>
                  <c:x val="-0.10833333333333334"/>
                  <c:y val="2.7777777777777776E-2"/>
                </c:manualLayout>
              </c:layout>
              <c:showLegendKey val="0"/>
              <c:showVal val="1"/>
              <c:showCatName val="0"/>
              <c:showSerName val="0"/>
              <c:showPercent val="0"/>
              <c:showBubbleSize val="0"/>
              <c:extLst>
                <c:ext xmlns:c15="http://schemas.microsoft.com/office/drawing/2012/chart" uri="{CE6537A1-D6FC-4f65-9D91-7224C49458BB}"/>
              </c:extLst>
            </c:dLbl>
            <c:dLbl>
              <c:idx val="3"/>
              <c:layout>
                <c:manualLayout>
                  <c:x val="-5.8333333333333334E-2"/>
                  <c:y val="-7.407407407407407E-2"/>
                </c:manualLayout>
              </c:layout>
              <c:showLegendKey val="0"/>
              <c:showVal val="1"/>
              <c:showCatName val="0"/>
              <c:showSerName val="0"/>
              <c:showPercent val="0"/>
              <c:showBubbleSize val="0"/>
              <c:extLst>
                <c:ext xmlns:c15="http://schemas.microsoft.com/office/drawing/2012/chart" uri="{CE6537A1-D6FC-4f65-9D91-7224C49458BB}"/>
              </c:extLst>
            </c:dLbl>
            <c:dLbl>
              <c:idx val="4"/>
              <c:layout>
                <c:manualLayout>
                  <c:x val="-5.5555555555555552E-2"/>
                  <c:y val="-5.0925925925925923E-2"/>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工业总产值!$C$11:$G$11</c:f>
              <c:strCache>
                <c:ptCount val="5"/>
                <c:pt idx="0">
                  <c:v>2021年</c:v>
                </c:pt>
                <c:pt idx="1">
                  <c:v>2022年</c:v>
                </c:pt>
                <c:pt idx="2">
                  <c:v>2023年</c:v>
                </c:pt>
                <c:pt idx="3">
                  <c:v>2024年</c:v>
                </c:pt>
                <c:pt idx="4">
                  <c:v>2025年</c:v>
                </c:pt>
              </c:strCache>
            </c:strRef>
          </c:cat>
          <c:val>
            <c:numRef>
              <c:f>工业总产值!$C$13:$G$13</c:f>
              <c:numCache>
                <c:formatCode>0.0%</c:formatCode>
                <c:ptCount val="5"/>
                <c:pt idx="0">
                  <c:v>0.47399999999999998</c:v>
                </c:pt>
                <c:pt idx="1">
                  <c:v>0.20699999999999999</c:v>
                </c:pt>
                <c:pt idx="2">
                  <c:v>6.8000000000000005E-2</c:v>
                </c:pt>
                <c:pt idx="3">
                  <c:v>0.124</c:v>
                </c:pt>
                <c:pt idx="4">
                  <c:v>0.11599999999999999</c:v>
                </c:pt>
              </c:numCache>
            </c:numRef>
          </c:val>
          <c:smooth val="0"/>
        </c:ser>
        <c:dLbls>
          <c:showLegendKey val="0"/>
          <c:showVal val="0"/>
          <c:showCatName val="0"/>
          <c:showSerName val="0"/>
          <c:showPercent val="0"/>
          <c:showBubbleSize val="0"/>
        </c:dLbls>
        <c:marker val="1"/>
        <c:smooth val="0"/>
        <c:axId val="702629672"/>
        <c:axId val="702630064"/>
      </c:lineChart>
      <c:catAx>
        <c:axId val="702629672"/>
        <c:scaling>
          <c:orientation val="minMax"/>
        </c:scaling>
        <c:delete val="0"/>
        <c:axPos val="b"/>
        <c:numFmt formatCode="General" sourceLinked="0"/>
        <c:majorTickMark val="none"/>
        <c:minorTickMark val="none"/>
        <c:tickLblPos val="nextTo"/>
        <c:crossAx val="702630064"/>
        <c:crosses val="autoZero"/>
        <c:auto val="1"/>
        <c:lblAlgn val="ctr"/>
        <c:lblOffset val="100"/>
        <c:noMultiLvlLbl val="0"/>
      </c:catAx>
      <c:valAx>
        <c:axId val="702630064"/>
        <c:scaling>
          <c:orientation val="minMax"/>
        </c:scaling>
        <c:delete val="0"/>
        <c:axPos val="l"/>
        <c:numFmt formatCode="0.0%" sourceLinked="1"/>
        <c:majorTickMark val="none"/>
        <c:minorTickMark val="none"/>
        <c:tickLblPos val="nextTo"/>
        <c:crossAx val="702629672"/>
        <c:crosses val="autoZero"/>
        <c:crossBetween val="between"/>
      </c:valAx>
    </c:plotArea>
    <c:plotVisOnly val="1"/>
    <c:dispBlanksAs val="gap"/>
    <c:showDLblsOverMax val="0"/>
  </c:chart>
  <c:externalData r:id="rId1">
    <c:autoUpdate val="0"/>
  </c:externalData>
  <c:userShapes r:id="rId2"/>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8.3815978304167274E-2"/>
          <c:y val="0.12947861247073844"/>
          <c:w val="0.82138429571303584"/>
          <c:h val="0.71744422572178479"/>
        </c:manualLayout>
      </c:layout>
      <c:barChart>
        <c:barDir val="col"/>
        <c:grouping val="clustered"/>
        <c:varyColors val="0"/>
        <c:ser>
          <c:idx val="0"/>
          <c:order val="0"/>
          <c:tx>
            <c:strRef>
              <c:f>工业总产值!$L$2</c:f>
              <c:strCache>
                <c:ptCount val="1"/>
                <c:pt idx="0">
                  <c:v>绝对值（亿度）</c:v>
                </c:pt>
              </c:strCache>
            </c:strRef>
          </c:tx>
          <c:spPr>
            <a:solidFill>
              <a:schemeClr val="accent1"/>
            </a:solidFill>
          </c:spPr>
          <c:invertIfNegative val="0"/>
          <c:dLbls>
            <c:dLbl>
              <c:idx val="0"/>
              <c:layout>
                <c:manualLayout>
                  <c:x val="0"/>
                  <c:y val="2.6845637583892617E-2"/>
                </c:manualLayout>
              </c:layout>
              <c:dLblPos val="outEnd"/>
              <c:showLegendKey val="0"/>
              <c:showVal val="1"/>
              <c:showCatName val="0"/>
              <c:showSerName val="0"/>
              <c:showPercent val="0"/>
              <c:showBubbleSize val="0"/>
              <c:extLst>
                <c:ext xmlns:c15="http://schemas.microsoft.com/office/drawing/2012/chart" uri="{CE6537A1-D6FC-4f65-9D91-7224C49458BB}"/>
              </c:extLst>
            </c:dLbl>
            <c:dLbl>
              <c:idx val="1"/>
              <c:layout>
                <c:manualLayout>
                  <c:x val="8.5615247461155956E-3"/>
                  <c:y val="3.1380506966830486E-2"/>
                </c:manualLayout>
              </c:layout>
              <c:dLblPos val="outEnd"/>
              <c:showLegendKey val="0"/>
              <c:showVal val="1"/>
              <c:showCatName val="0"/>
              <c:showSerName val="0"/>
              <c:showPercent val="0"/>
              <c:showBubbleSize val="0"/>
              <c:extLst>
                <c:ext xmlns:c15="http://schemas.microsoft.com/office/drawing/2012/chart" uri="{CE6537A1-D6FC-4f65-9D91-7224C49458BB}"/>
              </c:extLst>
            </c:dLbl>
            <c:dLbl>
              <c:idx val="2"/>
              <c:layout>
                <c:manualLayout>
                  <c:x val="-1.969057665260197E-2"/>
                  <c:y val="9.069386460920573E-3"/>
                </c:manualLayout>
              </c:layout>
              <c:dLblPos val="outEnd"/>
              <c:showLegendKey val="0"/>
              <c:showVal val="1"/>
              <c:showCatName val="0"/>
              <c:showSerName val="0"/>
              <c:showPercent val="0"/>
              <c:showBubbleSize val="0"/>
              <c:extLst>
                <c:ext xmlns:c15="http://schemas.microsoft.com/office/drawing/2012/chart" uri="{CE6537A1-D6FC-4f65-9D91-7224C49458BB}"/>
              </c:extLst>
            </c:dLbl>
            <c:dLbl>
              <c:idx val="3"/>
              <c:layout>
                <c:manualLayout>
                  <c:x val="-1.7777777777777778E-2"/>
                  <c:y val="-4.4742729306487487E-3"/>
                </c:manualLayout>
              </c:layout>
              <c:dLblPos val="outEnd"/>
              <c:showLegendKey val="0"/>
              <c:showVal val="1"/>
              <c:showCatName val="0"/>
              <c:showSerName val="0"/>
              <c:showPercent val="0"/>
              <c:showBubbleSize val="0"/>
              <c:extLst>
                <c:ext xmlns:c15="http://schemas.microsoft.com/office/drawing/2012/chart" uri="{CE6537A1-D6FC-4f65-9D91-7224C49458BB}"/>
              </c:extLst>
            </c:dLbl>
            <c:dLbl>
              <c:idx val="4"/>
              <c:layout>
                <c:manualLayout>
                  <c:x val="5.6258790436005627E-3"/>
                  <c:y val="0"/>
                </c:manualLayout>
              </c:layout>
              <c:dLblPos val="outEnd"/>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a:lstStyle/>
              <a:p>
                <a:pPr>
                  <a:defRPr sz="1200" b="1" i="0" u="none" strike="noStrike" baseline="0">
                    <a:solidFill>
                      <a:srgbClr val="000000"/>
                    </a:solidFill>
                    <a:latin typeface="宋体"/>
                    <a:ea typeface="宋体"/>
                    <a:cs typeface="宋体"/>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工业总产值!$W$1:$AA$1</c:f>
              <c:strCache>
                <c:ptCount val="5"/>
                <c:pt idx="0">
                  <c:v>2021年</c:v>
                </c:pt>
                <c:pt idx="1">
                  <c:v>2022年</c:v>
                </c:pt>
                <c:pt idx="2">
                  <c:v>2023年</c:v>
                </c:pt>
                <c:pt idx="3">
                  <c:v>2024年</c:v>
                </c:pt>
                <c:pt idx="4">
                  <c:v>2025年</c:v>
                </c:pt>
              </c:strCache>
            </c:strRef>
          </c:cat>
          <c:val>
            <c:numRef>
              <c:f>工业总产值!$W$2:$AA$2</c:f>
              <c:numCache>
                <c:formatCode>0.0_ </c:formatCode>
                <c:ptCount val="5"/>
                <c:pt idx="0">
                  <c:v>69.95</c:v>
                </c:pt>
                <c:pt idx="1">
                  <c:v>75.099999999999994</c:v>
                </c:pt>
                <c:pt idx="2" formatCode="0.00_ ">
                  <c:v>86.98</c:v>
                </c:pt>
                <c:pt idx="3" formatCode="0.00_ ">
                  <c:v>95.74</c:v>
                </c:pt>
                <c:pt idx="4" formatCode="0.00_ ">
                  <c:v>91.97</c:v>
                </c:pt>
              </c:numCache>
            </c:numRef>
          </c:val>
        </c:ser>
        <c:dLbls>
          <c:showLegendKey val="0"/>
          <c:showVal val="0"/>
          <c:showCatName val="0"/>
          <c:showSerName val="0"/>
          <c:showPercent val="0"/>
          <c:showBubbleSize val="0"/>
        </c:dLbls>
        <c:gapWidth val="75"/>
        <c:axId val="702630848"/>
        <c:axId val="702631240"/>
      </c:barChart>
      <c:lineChart>
        <c:grouping val="standard"/>
        <c:varyColors val="0"/>
        <c:ser>
          <c:idx val="1"/>
          <c:order val="1"/>
          <c:tx>
            <c:strRef>
              <c:f>工业总产值!$L$3</c:f>
              <c:strCache>
                <c:ptCount val="1"/>
                <c:pt idx="0">
                  <c:v>增幅</c:v>
                </c:pt>
              </c:strCache>
            </c:strRef>
          </c:tx>
          <c:marker>
            <c:symbol val="square"/>
            <c:size val="7"/>
          </c:marker>
          <c:dLbls>
            <c:dLbl>
              <c:idx val="0"/>
              <c:layout>
                <c:manualLayout>
                  <c:x val="-7.1870604781997194E-2"/>
                  <c:y val="-6.3098522080713065E-2"/>
                </c:manualLayout>
              </c:layout>
              <c:dLblPos val="r"/>
              <c:showLegendKey val="0"/>
              <c:showVal val="1"/>
              <c:showCatName val="0"/>
              <c:showSerName val="0"/>
              <c:showPercent val="0"/>
              <c:showBubbleSize val="0"/>
              <c:extLst>
                <c:ext xmlns:c15="http://schemas.microsoft.com/office/drawing/2012/chart" uri="{CE6537A1-D6FC-4f65-9D91-7224C49458BB}"/>
              </c:extLst>
            </c:dLbl>
            <c:dLbl>
              <c:idx val="2"/>
              <c:layout>
                <c:manualLayout>
                  <c:x val="-6.624472573839657E-2"/>
                  <c:y val="4.8757948880551003E-2"/>
                </c:manualLayout>
              </c:layout>
              <c:dLblPos val="r"/>
              <c:showLegendKey val="0"/>
              <c:showVal val="1"/>
              <c:showCatName val="0"/>
              <c:showSerName val="0"/>
              <c:showPercent val="0"/>
              <c:showBubbleSize val="0"/>
              <c:extLst>
                <c:ext xmlns:c15="http://schemas.microsoft.com/office/drawing/2012/chart" uri="{CE6537A1-D6FC-4f65-9D91-7224C49458BB}"/>
              </c:extLst>
            </c:dLbl>
            <c:dLbl>
              <c:idx val="3"/>
              <c:layout>
                <c:manualLayout>
                  <c:x val="-6.0061125692621758E-2"/>
                  <c:y val="5.7706847046803754E-2"/>
                </c:manualLayout>
              </c:layout>
              <c:dLblPos val="r"/>
              <c:showLegendKey val="0"/>
              <c:showVal val="1"/>
              <c:showCatName val="0"/>
              <c:showSerName val="0"/>
              <c:showPercent val="0"/>
              <c:showBubbleSize val="0"/>
              <c:extLst>
                <c:ext xmlns:c15="http://schemas.microsoft.com/office/drawing/2012/chart" uri="{CE6537A1-D6FC-4f65-9D91-7224C49458BB}"/>
              </c:extLst>
            </c:dLbl>
            <c:dLbl>
              <c:idx val="4"/>
              <c:layout>
                <c:manualLayout>
                  <c:x val="-4.0750201500403004E-2"/>
                  <c:y val="-6.7168777815816497E-2"/>
                </c:manualLayout>
              </c:layout>
              <c:dLblPos val="r"/>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a:lstStyle/>
              <a:p>
                <a:pPr>
                  <a:defRPr sz="1000" b="1" i="0" u="none" strike="noStrike" baseline="0">
                    <a:solidFill>
                      <a:srgbClr val="000000"/>
                    </a:solidFill>
                    <a:latin typeface="宋体"/>
                    <a:ea typeface="宋体"/>
                    <a:cs typeface="宋体"/>
                  </a:defRPr>
                </a:pPr>
                <a:endParaRPr lang="zh-CN"/>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工业总产值!$U$1:$Y$1</c:f>
              <c:strCache>
                <c:ptCount val="5"/>
                <c:pt idx="0">
                  <c:v>2019年</c:v>
                </c:pt>
                <c:pt idx="1">
                  <c:v>2020年</c:v>
                </c:pt>
                <c:pt idx="2">
                  <c:v>2021年</c:v>
                </c:pt>
                <c:pt idx="3">
                  <c:v>2022年</c:v>
                </c:pt>
                <c:pt idx="4">
                  <c:v>2023年</c:v>
                </c:pt>
              </c:strCache>
            </c:strRef>
          </c:cat>
          <c:val>
            <c:numRef>
              <c:f>工业总产值!$W$3:$AA$3</c:f>
              <c:numCache>
                <c:formatCode>0.0%</c:formatCode>
                <c:ptCount val="5"/>
                <c:pt idx="0">
                  <c:v>0.25900000000000001</c:v>
                </c:pt>
                <c:pt idx="1">
                  <c:v>7.400000000000001E-2</c:v>
                </c:pt>
                <c:pt idx="2">
                  <c:v>0.161</c:v>
                </c:pt>
                <c:pt idx="3">
                  <c:v>9.9000000000000005E-2</c:v>
                </c:pt>
                <c:pt idx="4">
                  <c:v>-3.9E-2</c:v>
                </c:pt>
              </c:numCache>
            </c:numRef>
          </c:val>
          <c:smooth val="0"/>
        </c:ser>
        <c:dLbls>
          <c:showLegendKey val="0"/>
          <c:showVal val="0"/>
          <c:showCatName val="0"/>
          <c:showSerName val="0"/>
          <c:showPercent val="0"/>
          <c:showBubbleSize val="0"/>
        </c:dLbls>
        <c:marker val="1"/>
        <c:smooth val="0"/>
        <c:axId val="702631632"/>
        <c:axId val="702632024"/>
      </c:lineChart>
      <c:catAx>
        <c:axId val="702630848"/>
        <c:scaling>
          <c:orientation val="minMax"/>
        </c:scaling>
        <c:delete val="0"/>
        <c:axPos val="b"/>
        <c:numFmt formatCode="General" sourceLinked="1"/>
        <c:majorTickMark val="none"/>
        <c:minorTickMark val="none"/>
        <c:tickLblPos val="nextTo"/>
        <c:txPr>
          <a:bodyPr rot="0" vert="horz"/>
          <a:lstStyle/>
          <a:p>
            <a:pPr>
              <a:defRPr sz="1000" b="0" i="0" u="none" strike="noStrike" baseline="0">
                <a:solidFill>
                  <a:srgbClr val="000000"/>
                </a:solidFill>
                <a:latin typeface="宋体"/>
                <a:ea typeface="宋体"/>
                <a:cs typeface="宋体"/>
              </a:defRPr>
            </a:pPr>
            <a:endParaRPr lang="zh-CN"/>
          </a:p>
        </c:txPr>
        <c:crossAx val="702631240"/>
        <c:crosses val="autoZero"/>
        <c:auto val="1"/>
        <c:lblAlgn val="ctr"/>
        <c:lblOffset val="100"/>
        <c:tickMarkSkip val="1"/>
        <c:noMultiLvlLbl val="0"/>
      </c:catAx>
      <c:valAx>
        <c:axId val="702631240"/>
        <c:scaling>
          <c:orientation val="minMax"/>
        </c:scaling>
        <c:delete val="0"/>
        <c:axPos val="l"/>
        <c:numFmt formatCode="0_);\(0\)" sourceLinked="0"/>
        <c:majorTickMark val="in"/>
        <c:minorTickMark val="none"/>
        <c:tickLblPos val="nextTo"/>
        <c:txPr>
          <a:bodyPr rot="0" vert="horz"/>
          <a:lstStyle/>
          <a:p>
            <a:pPr>
              <a:defRPr sz="1100" b="1" i="0" u="none" strike="noStrike" baseline="0">
                <a:solidFill>
                  <a:srgbClr val="000000"/>
                </a:solidFill>
                <a:latin typeface="宋体"/>
                <a:ea typeface="宋体"/>
                <a:cs typeface="宋体"/>
              </a:defRPr>
            </a:pPr>
            <a:endParaRPr lang="zh-CN"/>
          </a:p>
        </c:txPr>
        <c:crossAx val="702630848"/>
        <c:crosses val="autoZero"/>
        <c:crossBetween val="between"/>
        <c:majorUnit val="20"/>
      </c:valAx>
      <c:catAx>
        <c:axId val="702631632"/>
        <c:scaling>
          <c:orientation val="minMax"/>
        </c:scaling>
        <c:delete val="1"/>
        <c:axPos val="b"/>
        <c:numFmt formatCode="General" sourceLinked="1"/>
        <c:majorTickMark val="out"/>
        <c:minorTickMark val="none"/>
        <c:tickLblPos val="nextTo"/>
        <c:crossAx val="702632024"/>
        <c:crosses val="autoZero"/>
        <c:auto val="1"/>
        <c:lblAlgn val="ctr"/>
        <c:lblOffset val="100"/>
        <c:noMultiLvlLbl val="0"/>
      </c:catAx>
      <c:valAx>
        <c:axId val="702632024"/>
        <c:scaling>
          <c:orientation val="minMax"/>
          <c:max val="0.28000000000000003"/>
          <c:min val="-5.000000000000001E-2"/>
        </c:scaling>
        <c:delete val="0"/>
        <c:axPos val="r"/>
        <c:numFmt formatCode="0%" sourceLinked="0"/>
        <c:majorTickMark val="in"/>
        <c:minorTickMark val="none"/>
        <c:tickLblPos val="nextTo"/>
        <c:txPr>
          <a:bodyPr rot="0" vert="horz"/>
          <a:lstStyle/>
          <a:p>
            <a:pPr>
              <a:defRPr sz="1000" b="1" i="0" u="none" strike="noStrike" baseline="0">
                <a:solidFill>
                  <a:srgbClr val="000000"/>
                </a:solidFill>
                <a:latin typeface="宋体"/>
                <a:ea typeface="宋体"/>
                <a:cs typeface="宋体"/>
              </a:defRPr>
            </a:pPr>
            <a:endParaRPr lang="zh-CN"/>
          </a:p>
        </c:txPr>
        <c:crossAx val="702631632"/>
        <c:crosses val="max"/>
        <c:crossBetween val="between"/>
      </c:valAx>
    </c:plotArea>
    <c:legend>
      <c:legendPos val="b"/>
      <c:layout>
        <c:manualLayout>
          <c:xMode val="edge"/>
          <c:yMode val="edge"/>
          <c:x val="0.23388885444437554"/>
          <c:y val="0.91628297298958028"/>
          <c:w val="0.49957798582263835"/>
          <c:h val="8.0908013588602445E-2"/>
        </c:manualLayout>
      </c:layout>
      <c:overlay val="0"/>
      <c:txPr>
        <a:bodyPr/>
        <a:lstStyle/>
        <a:p>
          <a:pPr>
            <a:defRPr sz="920" b="0" i="0" u="none" strike="noStrike" baseline="0">
              <a:solidFill>
                <a:srgbClr val="000000"/>
              </a:solidFill>
              <a:latin typeface="宋体"/>
              <a:ea typeface="宋体"/>
              <a:cs typeface="宋体"/>
            </a:defRPr>
          </a:pPr>
          <a:endParaRPr lang="zh-CN"/>
        </a:p>
      </c:txPr>
    </c:legend>
    <c:plotVisOnly val="1"/>
    <c:dispBlanksAs val="gap"/>
    <c:showDLblsOverMax val="0"/>
  </c:chart>
  <c:txPr>
    <a:bodyPr/>
    <a:lstStyle/>
    <a:p>
      <a:pPr>
        <a:defRPr sz="1000" b="0" i="0" u="none" strike="noStrike" baseline="0">
          <a:solidFill>
            <a:srgbClr val="000000"/>
          </a:solidFill>
          <a:latin typeface="宋体"/>
          <a:ea typeface="宋体"/>
          <a:cs typeface="宋体"/>
        </a:defRPr>
      </a:pPr>
      <a:endParaRPr lang="zh-CN"/>
    </a:p>
  </c:txPr>
  <c:externalData r:id="rId1">
    <c:autoUpdate val="0"/>
  </c:externalData>
  <c:userShapes r:id="rId2"/>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b="1" i="0" u="none" strike="noStrike" baseline="0">
                <a:solidFill>
                  <a:srgbClr val="000000"/>
                </a:solidFill>
                <a:latin typeface="宋体"/>
                <a:ea typeface="宋体"/>
                <a:cs typeface="宋体"/>
              </a:defRPr>
            </a:pPr>
            <a:r>
              <a:rPr lang="zh-CN" altLang="en-US"/>
              <a:t>固定资产投资增速</a:t>
            </a:r>
          </a:p>
        </c:rich>
      </c:tx>
      <c:overlay val="0"/>
    </c:title>
    <c:autoTitleDeleted val="0"/>
    <c:plotArea>
      <c:layout/>
      <c:lineChart>
        <c:grouping val="standard"/>
        <c:varyColors val="0"/>
        <c:ser>
          <c:idx val="0"/>
          <c:order val="0"/>
          <c:marker>
            <c:symbol val="diamond"/>
            <c:size val="7"/>
          </c:marker>
          <c:dLbls>
            <c:dLbl>
              <c:idx val="0"/>
              <c:layout>
                <c:manualLayout>
                  <c:x val="-5.8333333333333307E-2"/>
                  <c:y val="6.4814814814814811E-2"/>
                </c:manualLayout>
              </c:layout>
              <c:dLblPos val="r"/>
              <c:showLegendKey val="0"/>
              <c:showVal val="1"/>
              <c:showCatName val="0"/>
              <c:showSerName val="0"/>
              <c:showPercent val="0"/>
              <c:showBubbleSize val="0"/>
              <c:extLst>
                <c:ext xmlns:c15="http://schemas.microsoft.com/office/drawing/2012/chart" uri="{CE6537A1-D6FC-4f65-9D91-7224C49458BB}"/>
              </c:extLst>
            </c:dLbl>
            <c:dLbl>
              <c:idx val="1"/>
              <c:layout>
                <c:manualLayout>
                  <c:x val="-6.3888888888888884E-2"/>
                  <c:y val="-6.0185185185185182E-2"/>
                </c:manualLayout>
              </c:layout>
              <c:dLblPos val="r"/>
              <c:showLegendKey val="0"/>
              <c:showVal val="1"/>
              <c:showCatName val="0"/>
              <c:showSerName val="0"/>
              <c:showPercent val="0"/>
              <c:showBubbleSize val="0"/>
              <c:extLst>
                <c:ext xmlns:c15="http://schemas.microsoft.com/office/drawing/2012/chart" uri="{CE6537A1-D6FC-4f65-9D91-7224C49458BB}"/>
              </c:extLst>
            </c:dLbl>
            <c:dLbl>
              <c:idx val="2"/>
              <c:layout>
                <c:manualLayout>
                  <c:x val="-5.8333333333333334E-2"/>
                  <c:y val="-8.333333333333337E-2"/>
                </c:manualLayout>
              </c:layout>
              <c:dLblPos val="r"/>
              <c:showLegendKey val="0"/>
              <c:showVal val="1"/>
              <c:showCatName val="0"/>
              <c:showSerName val="0"/>
              <c:showPercent val="0"/>
              <c:showBubbleSize val="0"/>
              <c:extLst>
                <c:ext xmlns:c15="http://schemas.microsoft.com/office/drawing/2012/chart" uri="{CE6537A1-D6FC-4f65-9D91-7224C49458BB}"/>
              </c:extLst>
            </c:dLbl>
            <c:dLbl>
              <c:idx val="3"/>
              <c:layout>
                <c:manualLayout>
                  <c:x val="-2.976190476190476E-2"/>
                  <c:y val="-5.555544619422572E-2"/>
                </c:manualLayout>
              </c:layout>
              <c:dLblPos val="r"/>
              <c:showLegendKey val="0"/>
              <c:showVal val="1"/>
              <c:showCatName val="0"/>
              <c:showSerName val="0"/>
              <c:showPercent val="0"/>
              <c:showBubbleSize val="0"/>
              <c:extLst>
                <c:ext xmlns:c15="http://schemas.microsoft.com/office/drawing/2012/chart" uri="{CE6537A1-D6FC-4f65-9D91-7224C49458BB}"/>
              </c:extLst>
            </c:dLbl>
            <c:dLbl>
              <c:idx val="4"/>
              <c:layout>
                <c:manualLayout>
                  <c:x val="-1.8783068783068783E-2"/>
                  <c:y val="-6.2037073490813652E-2"/>
                </c:manualLayout>
              </c:layout>
              <c:dLblPos val="r"/>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a:lstStyle/>
              <a:p>
                <a:pPr>
                  <a:defRPr sz="1000" b="0" i="0" u="none" strike="noStrike" baseline="0">
                    <a:solidFill>
                      <a:srgbClr val="000000"/>
                    </a:solidFill>
                    <a:latin typeface="宋体"/>
                    <a:ea typeface="宋体"/>
                    <a:cs typeface="宋体"/>
                  </a:defRPr>
                </a:pPr>
                <a:endParaRPr lang="zh-CN"/>
              </a:p>
            </c:txPr>
            <c:dLblPos val="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固定资产投资!$L$1:$P$1</c:f>
              <c:strCache>
                <c:ptCount val="5"/>
                <c:pt idx="0">
                  <c:v>2021年</c:v>
                </c:pt>
                <c:pt idx="1">
                  <c:v>2022年</c:v>
                </c:pt>
                <c:pt idx="2">
                  <c:v>2023年</c:v>
                </c:pt>
                <c:pt idx="3">
                  <c:v>2024年</c:v>
                </c:pt>
                <c:pt idx="4">
                  <c:v>2025年</c:v>
                </c:pt>
              </c:strCache>
            </c:strRef>
          </c:cat>
          <c:val>
            <c:numRef>
              <c:f>固定资产投资!$L$3:$P$3</c:f>
              <c:numCache>
                <c:formatCode>0.0%</c:formatCode>
                <c:ptCount val="5"/>
                <c:pt idx="0">
                  <c:v>0.20300000000000001</c:v>
                </c:pt>
                <c:pt idx="1">
                  <c:v>0.158</c:v>
                </c:pt>
                <c:pt idx="2">
                  <c:v>0.20199999999999999</c:v>
                </c:pt>
                <c:pt idx="3">
                  <c:v>0.08</c:v>
                </c:pt>
                <c:pt idx="4">
                  <c:v>4.5999999999999999E-2</c:v>
                </c:pt>
              </c:numCache>
            </c:numRef>
          </c:val>
          <c:smooth val="0"/>
        </c:ser>
        <c:dLbls>
          <c:showLegendKey val="0"/>
          <c:showVal val="0"/>
          <c:showCatName val="0"/>
          <c:showSerName val="0"/>
          <c:showPercent val="0"/>
          <c:showBubbleSize val="0"/>
        </c:dLbls>
        <c:marker val="1"/>
        <c:smooth val="0"/>
        <c:axId val="702632808"/>
        <c:axId val="702633200"/>
      </c:lineChart>
      <c:catAx>
        <c:axId val="702632808"/>
        <c:scaling>
          <c:orientation val="minMax"/>
        </c:scaling>
        <c:delete val="0"/>
        <c:axPos val="b"/>
        <c:numFmt formatCode="General" sourceLinked="1"/>
        <c:majorTickMark val="out"/>
        <c:minorTickMark val="none"/>
        <c:tickLblPos val="nextTo"/>
        <c:txPr>
          <a:bodyPr rot="0" vert="horz"/>
          <a:lstStyle/>
          <a:p>
            <a:pPr>
              <a:defRPr sz="1000" b="0" i="0" u="none" strike="noStrike" baseline="0">
                <a:solidFill>
                  <a:srgbClr val="000000"/>
                </a:solidFill>
                <a:latin typeface="宋体"/>
                <a:ea typeface="宋体"/>
                <a:cs typeface="宋体"/>
              </a:defRPr>
            </a:pPr>
            <a:endParaRPr lang="zh-CN"/>
          </a:p>
        </c:txPr>
        <c:crossAx val="702633200"/>
        <c:crosses val="autoZero"/>
        <c:auto val="1"/>
        <c:lblAlgn val="ctr"/>
        <c:lblOffset val="100"/>
        <c:tickMarkSkip val="1"/>
        <c:noMultiLvlLbl val="0"/>
      </c:catAx>
      <c:valAx>
        <c:axId val="702633200"/>
        <c:scaling>
          <c:orientation val="minMax"/>
        </c:scaling>
        <c:delete val="0"/>
        <c:axPos val="l"/>
        <c:numFmt formatCode="0.0%" sourceLinked="1"/>
        <c:majorTickMark val="out"/>
        <c:minorTickMark val="none"/>
        <c:tickLblPos val="nextTo"/>
        <c:txPr>
          <a:bodyPr rot="0" vert="horz"/>
          <a:lstStyle/>
          <a:p>
            <a:pPr>
              <a:defRPr sz="1000" b="0" i="0" u="none" strike="noStrike" baseline="0">
                <a:solidFill>
                  <a:srgbClr val="000000"/>
                </a:solidFill>
                <a:latin typeface="宋体"/>
                <a:ea typeface="宋体"/>
                <a:cs typeface="宋体"/>
              </a:defRPr>
            </a:pPr>
            <a:endParaRPr lang="zh-CN"/>
          </a:p>
        </c:txPr>
        <c:crossAx val="702632808"/>
        <c:crosses val="autoZero"/>
        <c:crossBetween val="between"/>
      </c:valAx>
    </c:plotArea>
    <c:plotVisOnly val="1"/>
    <c:dispBlanksAs val="gap"/>
    <c:showDLblsOverMax val="0"/>
  </c:chart>
  <c:txPr>
    <a:bodyPr/>
    <a:lstStyle/>
    <a:p>
      <a:pPr>
        <a:defRPr sz="1000" b="0" i="0" u="none" strike="noStrike" baseline="0">
          <a:solidFill>
            <a:srgbClr val="000000"/>
          </a:solidFill>
          <a:latin typeface="宋体"/>
          <a:ea typeface="宋体"/>
          <a:cs typeface="宋体"/>
        </a:defRPr>
      </a:pPr>
      <a:endParaRPr lang="zh-CN"/>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1112970253718285"/>
          <c:y val="0.10516185476815398"/>
          <c:w val="0.79940966754155729"/>
          <c:h val="0.71460885097696125"/>
        </c:manualLayout>
      </c:layout>
      <c:barChart>
        <c:barDir val="col"/>
        <c:grouping val="clustered"/>
        <c:varyColors val="0"/>
        <c:ser>
          <c:idx val="0"/>
          <c:order val="0"/>
          <c:tx>
            <c:strRef>
              <c:f>市场成交额!$A$2</c:f>
              <c:strCache>
                <c:ptCount val="1"/>
                <c:pt idx="0">
                  <c:v>绝对值（亿元）</c:v>
                </c:pt>
              </c:strCache>
            </c:strRef>
          </c:tx>
          <c:spPr>
            <a:solidFill>
              <a:schemeClr val="accent1"/>
            </a:solidFill>
          </c:spPr>
          <c:invertIfNegative val="0"/>
          <c:dLbls>
            <c:dLbl>
              <c:idx val="0"/>
              <c:layout>
                <c:manualLayout>
                  <c:x val="0"/>
                  <c:y val="1.8518518518518517E-2"/>
                </c:manualLayout>
              </c:layout>
              <c:dLblPos val="outEnd"/>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a:lstStyle/>
              <a:p>
                <a:pPr>
                  <a:defRPr sz="1200" b="1" i="0" u="none" strike="noStrike" baseline="0">
                    <a:solidFill>
                      <a:srgbClr val="000000"/>
                    </a:solidFill>
                    <a:latin typeface="宋体"/>
                    <a:ea typeface="宋体"/>
                    <a:cs typeface="宋体"/>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市场成交额!$L$1:$P$1</c:f>
              <c:strCache>
                <c:ptCount val="5"/>
                <c:pt idx="0">
                  <c:v>2021年</c:v>
                </c:pt>
                <c:pt idx="1">
                  <c:v>2022年</c:v>
                </c:pt>
                <c:pt idx="2">
                  <c:v>2023年</c:v>
                </c:pt>
                <c:pt idx="3">
                  <c:v>2024年</c:v>
                </c:pt>
                <c:pt idx="4">
                  <c:v>2025年</c:v>
                </c:pt>
              </c:strCache>
            </c:strRef>
          </c:cat>
          <c:val>
            <c:numRef>
              <c:f>市场成交额!$L$2:$P$2</c:f>
              <c:numCache>
                <c:formatCode>General</c:formatCode>
                <c:ptCount val="5"/>
                <c:pt idx="0">
                  <c:v>2172.1</c:v>
                </c:pt>
                <c:pt idx="1">
                  <c:v>2322.8000000000002</c:v>
                </c:pt>
                <c:pt idx="2">
                  <c:v>2664.76</c:v>
                </c:pt>
                <c:pt idx="3">
                  <c:v>3150.64</c:v>
                </c:pt>
                <c:pt idx="4">
                  <c:v>3606.9</c:v>
                </c:pt>
              </c:numCache>
            </c:numRef>
          </c:val>
        </c:ser>
        <c:dLbls>
          <c:showLegendKey val="0"/>
          <c:showVal val="0"/>
          <c:showCatName val="0"/>
          <c:showSerName val="0"/>
          <c:showPercent val="0"/>
          <c:showBubbleSize val="0"/>
        </c:dLbls>
        <c:gapWidth val="75"/>
        <c:axId val="702633984"/>
        <c:axId val="702634376"/>
      </c:barChart>
      <c:lineChart>
        <c:grouping val="standard"/>
        <c:varyColors val="0"/>
        <c:ser>
          <c:idx val="1"/>
          <c:order val="1"/>
          <c:tx>
            <c:strRef>
              <c:f>市场成交额!$A$3</c:f>
              <c:strCache>
                <c:ptCount val="1"/>
                <c:pt idx="0">
                  <c:v>增幅</c:v>
                </c:pt>
              </c:strCache>
            </c:strRef>
          </c:tx>
          <c:marker>
            <c:symbol val="square"/>
            <c:size val="7"/>
          </c:marker>
          <c:dLbls>
            <c:dLbl>
              <c:idx val="0"/>
              <c:layout>
                <c:manualLayout>
                  <c:x val="-7.5277777777777777E-2"/>
                  <c:y val="5.3418803418803416E-2"/>
                </c:manualLayout>
              </c:layout>
              <c:dLblPos val="r"/>
              <c:showLegendKey val="0"/>
              <c:showVal val="1"/>
              <c:showCatName val="0"/>
              <c:showSerName val="0"/>
              <c:showPercent val="0"/>
              <c:showBubbleSize val="0"/>
              <c:extLst>
                <c:ext xmlns:c15="http://schemas.microsoft.com/office/drawing/2012/chart" uri="{CE6537A1-D6FC-4f65-9D91-7224C49458BB}"/>
              </c:extLst>
            </c:dLbl>
            <c:dLbl>
              <c:idx val="1"/>
              <c:layout>
                <c:manualLayout>
                  <c:x val="-6.1388888888888889E-2"/>
                  <c:y val="-4.413472706155637E-2"/>
                </c:manualLayout>
              </c:layout>
              <c:dLblPos val="r"/>
              <c:showLegendKey val="0"/>
              <c:showVal val="1"/>
              <c:showCatName val="0"/>
              <c:showSerName val="0"/>
              <c:showPercent val="0"/>
              <c:showBubbleSize val="0"/>
              <c:extLst>
                <c:ext xmlns:c15="http://schemas.microsoft.com/office/drawing/2012/chart" uri="{CE6537A1-D6FC-4f65-9D91-7224C49458BB}"/>
              </c:extLst>
            </c:dLbl>
            <c:dLbl>
              <c:idx val="3"/>
              <c:layout>
                <c:manualLayout>
                  <c:x val="-6.1347331583552059E-2"/>
                  <c:y val="-5.1400554097404488E-2"/>
                </c:manualLayout>
              </c:layout>
              <c:dLblPos val="r"/>
              <c:showLegendKey val="0"/>
              <c:showVal val="1"/>
              <c:showCatName val="0"/>
              <c:showSerName val="0"/>
              <c:showPercent val="0"/>
              <c:showBubbleSize val="0"/>
              <c:extLst>
                <c:ext xmlns:c15="http://schemas.microsoft.com/office/drawing/2012/chart" uri="{CE6537A1-D6FC-4f65-9D91-7224C49458BB}"/>
              </c:extLst>
            </c:dLbl>
            <c:dLbl>
              <c:idx val="4"/>
              <c:layout>
                <c:manualLayout>
                  <c:x val="-4.4680664916885389E-2"/>
                  <c:y val="-6.0659813356663747E-2"/>
                </c:manualLayout>
              </c:layout>
              <c:dLblPos val="r"/>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a:lstStyle/>
              <a:p>
                <a:pPr>
                  <a:defRPr sz="1000" b="1" i="0" u="none" strike="noStrike" baseline="0">
                    <a:solidFill>
                      <a:srgbClr val="000000"/>
                    </a:solidFill>
                    <a:latin typeface="宋体"/>
                    <a:ea typeface="宋体"/>
                    <a:cs typeface="宋体"/>
                  </a:defRPr>
                </a:pPr>
                <a:endParaRPr lang="zh-CN"/>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市场成交额!$J$1:$N$1</c:f>
              <c:strCache>
                <c:ptCount val="5"/>
                <c:pt idx="0">
                  <c:v>2019年</c:v>
                </c:pt>
                <c:pt idx="1">
                  <c:v>2020年</c:v>
                </c:pt>
                <c:pt idx="2">
                  <c:v>2021年</c:v>
                </c:pt>
                <c:pt idx="3">
                  <c:v>2022年</c:v>
                </c:pt>
                <c:pt idx="4">
                  <c:v>2023年</c:v>
                </c:pt>
              </c:strCache>
            </c:strRef>
          </c:cat>
          <c:val>
            <c:numRef>
              <c:f>市场成交额!$L$3:$P$3</c:f>
              <c:numCache>
                <c:formatCode>0.0%</c:formatCode>
                <c:ptCount val="5"/>
                <c:pt idx="0">
                  <c:v>0.152</c:v>
                </c:pt>
                <c:pt idx="1">
                  <c:v>6.9000000000000006E-2</c:v>
                </c:pt>
                <c:pt idx="2">
                  <c:v>0.1472</c:v>
                </c:pt>
                <c:pt idx="3">
                  <c:v>0.182</c:v>
                </c:pt>
                <c:pt idx="4">
                  <c:v>0.14499999999999999</c:v>
                </c:pt>
              </c:numCache>
            </c:numRef>
          </c:val>
          <c:smooth val="0"/>
        </c:ser>
        <c:dLbls>
          <c:showLegendKey val="0"/>
          <c:showVal val="0"/>
          <c:showCatName val="0"/>
          <c:showSerName val="0"/>
          <c:showPercent val="0"/>
          <c:showBubbleSize val="0"/>
        </c:dLbls>
        <c:marker val="1"/>
        <c:smooth val="0"/>
        <c:axId val="702634768"/>
        <c:axId val="702635160"/>
      </c:lineChart>
      <c:catAx>
        <c:axId val="702633984"/>
        <c:scaling>
          <c:orientation val="minMax"/>
        </c:scaling>
        <c:delete val="0"/>
        <c:axPos val="b"/>
        <c:numFmt formatCode="General" sourceLinked="1"/>
        <c:majorTickMark val="none"/>
        <c:minorTickMark val="none"/>
        <c:tickLblPos val="nextTo"/>
        <c:txPr>
          <a:bodyPr rot="0" vert="horz"/>
          <a:lstStyle/>
          <a:p>
            <a:pPr>
              <a:defRPr sz="1000" b="0" i="0" u="none" strike="noStrike" baseline="0">
                <a:solidFill>
                  <a:srgbClr val="000000"/>
                </a:solidFill>
                <a:latin typeface="宋体"/>
                <a:ea typeface="宋体"/>
                <a:cs typeface="宋体"/>
              </a:defRPr>
            </a:pPr>
            <a:endParaRPr lang="zh-CN"/>
          </a:p>
        </c:txPr>
        <c:crossAx val="702634376"/>
        <c:crosses val="autoZero"/>
        <c:auto val="1"/>
        <c:lblAlgn val="ctr"/>
        <c:lblOffset val="100"/>
        <c:tickMarkSkip val="1"/>
        <c:noMultiLvlLbl val="0"/>
      </c:catAx>
      <c:valAx>
        <c:axId val="702634376"/>
        <c:scaling>
          <c:orientation val="minMax"/>
          <c:min val="0"/>
        </c:scaling>
        <c:delete val="0"/>
        <c:axPos val="l"/>
        <c:numFmt formatCode="General" sourceLinked="1"/>
        <c:majorTickMark val="in"/>
        <c:minorTickMark val="none"/>
        <c:tickLblPos val="nextTo"/>
        <c:txPr>
          <a:bodyPr rot="0" vert="horz"/>
          <a:lstStyle/>
          <a:p>
            <a:pPr>
              <a:defRPr sz="1100" b="1" i="0" u="none" strike="noStrike" baseline="0">
                <a:solidFill>
                  <a:srgbClr val="000000"/>
                </a:solidFill>
                <a:latin typeface="宋体"/>
                <a:ea typeface="宋体"/>
                <a:cs typeface="宋体"/>
              </a:defRPr>
            </a:pPr>
            <a:endParaRPr lang="zh-CN"/>
          </a:p>
        </c:txPr>
        <c:crossAx val="702633984"/>
        <c:crosses val="autoZero"/>
        <c:crossBetween val="between"/>
        <c:majorUnit val="500"/>
      </c:valAx>
      <c:catAx>
        <c:axId val="702634768"/>
        <c:scaling>
          <c:orientation val="minMax"/>
        </c:scaling>
        <c:delete val="1"/>
        <c:axPos val="b"/>
        <c:numFmt formatCode="General" sourceLinked="1"/>
        <c:majorTickMark val="out"/>
        <c:minorTickMark val="none"/>
        <c:tickLblPos val="nextTo"/>
        <c:crossAx val="702635160"/>
        <c:crosses val="autoZero"/>
        <c:auto val="1"/>
        <c:lblAlgn val="ctr"/>
        <c:lblOffset val="100"/>
        <c:noMultiLvlLbl val="0"/>
      </c:catAx>
      <c:valAx>
        <c:axId val="702635160"/>
        <c:scaling>
          <c:orientation val="minMax"/>
          <c:max val="0.3"/>
        </c:scaling>
        <c:delete val="0"/>
        <c:axPos val="r"/>
        <c:numFmt formatCode="0%" sourceLinked="0"/>
        <c:majorTickMark val="in"/>
        <c:minorTickMark val="none"/>
        <c:tickLblPos val="nextTo"/>
        <c:txPr>
          <a:bodyPr rot="0" vert="horz"/>
          <a:lstStyle/>
          <a:p>
            <a:pPr>
              <a:defRPr sz="1000" b="1" i="0" u="none" strike="noStrike" baseline="0">
                <a:solidFill>
                  <a:srgbClr val="000000"/>
                </a:solidFill>
                <a:latin typeface="宋体"/>
                <a:ea typeface="宋体"/>
                <a:cs typeface="宋体"/>
              </a:defRPr>
            </a:pPr>
            <a:endParaRPr lang="zh-CN"/>
          </a:p>
        </c:txPr>
        <c:crossAx val="702634768"/>
        <c:crosses val="max"/>
        <c:crossBetween val="between"/>
        <c:majorUnit val="5.000000000000001E-2"/>
      </c:valAx>
    </c:plotArea>
    <c:legend>
      <c:legendPos val="b"/>
      <c:layout>
        <c:manualLayout>
          <c:xMode val="edge"/>
          <c:yMode val="edge"/>
          <c:x val="0.25888888888888889"/>
          <c:y val="0.90702369520883064"/>
          <c:w val="0.46"/>
          <c:h val="8.3717340210522462E-2"/>
        </c:manualLayout>
      </c:layout>
      <c:overlay val="0"/>
      <c:txPr>
        <a:bodyPr/>
        <a:lstStyle/>
        <a:p>
          <a:pPr>
            <a:defRPr sz="920" b="0" i="0" u="none" strike="noStrike" baseline="0">
              <a:solidFill>
                <a:srgbClr val="000000"/>
              </a:solidFill>
              <a:latin typeface="宋体"/>
              <a:ea typeface="宋体"/>
              <a:cs typeface="宋体"/>
            </a:defRPr>
          </a:pPr>
          <a:endParaRPr lang="zh-CN"/>
        </a:p>
      </c:txPr>
    </c:legend>
    <c:plotVisOnly val="1"/>
    <c:dispBlanksAs val="gap"/>
    <c:showDLblsOverMax val="0"/>
  </c:chart>
  <c:txPr>
    <a:bodyPr/>
    <a:lstStyle/>
    <a:p>
      <a:pPr>
        <a:defRPr sz="1000" b="0" i="0" u="none" strike="noStrike" baseline="0">
          <a:solidFill>
            <a:srgbClr val="000000"/>
          </a:solidFill>
          <a:latin typeface="宋体"/>
          <a:ea typeface="宋体"/>
          <a:cs typeface="宋体"/>
        </a:defRPr>
      </a:pPr>
      <a:endParaRPr lang="zh-CN"/>
    </a:p>
  </c:txPr>
  <c:externalData r:id="rId1">
    <c:autoUpdate val="0"/>
  </c:externalData>
  <c:userShapes r:id="rId2"/>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1754396325459318"/>
          <c:y val="0.1162153689122193"/>
          <c:w val="0.80171762904636923"/>
          <c:h val="0.71744422572178479"/>
        </c:manualLayout>
      </c:layout>
      <c:barChart>
        <c:barDir val="col"/>
        <c:grouping val="clustered"/>
        <c:varyColors val="0"/>
        <c:ser>
          <c:idx val="0"/>
          <c:order val="0"/>
          <c:tx>
            <c:strRef>
              <c:f>市场成交额!$S$2</c:f>
              <c:strCache>
                <c:ptCount val="1"/>
                <c:pt idx="0">
                  <c:v>绝对值（亿元）</c:v>
                </c:pt>
              </c:strCache>
            </c:strRef>
          </c:tx>
          <c:spPr>
            <a:solidFill>
              <a:schemeClr val="accent1"/>
            </a:solidFill>
          </c:spPr>
          <c:invertIfNegative val="0"/>
          <c:dLbls>
            <c:dLbl>
              <c:idx val="0"/>
              <c:layout>
                <c:manualLayout>
                  <c:x val="-8.3333333333333332E-3"/>
                  <c:y val="2.7777413240011664E-2"/>
                </c:manualLayout>
              </c:layout>
              <c:dLblPos val="outEnd"/>
              <c:showLegendKey val="0"/>
              <c:showVal val="1"/>
              <c:showCatName val="0"/>
              <c:showSerName val="0"/>
              <c:showPercent val="0"/>
              <c:showBubbleSize val="0"/>
              <c:extLst>
                <c:ext xmlns:c15="http://schemas.microsoft.com/office/drawing/2012/chart" uri="{CE6537A1-D6FC-4f65-9D91-7224C49458BB}"/>
              </c:extLst>
            </c:dLbl>
            <c:dLbl>
              <c:idx val="1"/>
              <c:layout>
                <c:manualLayout>
                  <c:x val="-8.3333333333333332E-3"/>
                  <c:y val="-2.3148148148148147E-2"/>
                </c:manualLayout>
              </c:layout>
              <c:dLblPos val="outEnd"/>
              <c:showLegendKey val="0"/>
              <c:showVal val="1"/>
              <c:showCatName val="0"/>
              <c:showSerName val="0"/>
              <c:showPercent val="0"/>
              <c:showBubbleSize val="0"/>
              <c:extLst>
                <c:ext xmlns:c15="http://schemas.microsoft.com/office/drawing/2012/chart" uri="{CE6537A1-D6FC-4f65-9D91-7224C49458BB}"/>
              </c:extLst>
            </c:dLbl>
            <c:dLbl>
              <c:idx val="3"/>
              <c:layout>
                <c:manualLayout>
                  <c:x val="-1.1111111111111112E-2"/>
                  <c:y val="9.2592592592592587E-3"/>
                </c:manualLayout>
              </c:layout>
              <c:dLblPos val="outEnd"/>
              <c:showLegendKey val="0"/>
              <c:showVal val="1"/>
              <c:showCatName val="0"/>
              <c:showSerName val="0"/>
              <c:showPercent val="0"/>
              <c:showBubbleSize val="0"/>
              <c:extLst>
                <c:ext xmlns:c15="http://schemas.microsoft.com/office/drawing/2012/chart" uri="{CE6537A1-D6FC-4f65-9D91-7224C49458BB}"/>
              </c:extLst>
            </c:dLbl>
            <c:dLbl>
              <c:idx val="4"/>
              <c:layout>
                <c:manualLayout>
                  <c:x val="-5.5555555555555558E-3"/>
                  <c:y val="9.2592592592592483E-3"/>
                </c:manualLayout>
              </c:layout>
              <c:dLblPos val="outEnd"/>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a:lstStyle/>
              <a:p>
                <a:pPr>
                  <a:defRPr sz="1200" b="1" i="0" u="none" strike="noStrike" baseline="0">
                    <a:solidFill>
                      <a:srgbClr val="000000"/>
                    </a:solidFill>
                    <a:latin typeface="宋体"/>
                    <a:ea typeface="宋体"/>
                    <a:cs typeface="宋体"/>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市场成交额!$AD$1:$AH$1</c:f>
              <c:strCache>
                <c:ptCount val="5"/>
                <c:pt idx="0">
                  <c:v>2021年</c:v>
                </c:pt>
                <c:pt idx="1">
                  <c:v>2022年</c:v>
                </c:pt>
                <c:pt idx="2">
                  <c:v>2023年</c:v>
                </c:pt>
                <c:pt idx="3">
                  <c:v>2024年</c:v>
                </c:pt>
                <c:pt idx="4">
                  <c:v>2025年</c:v>
                </c:pt>
              </c:strCache>
            </c:strRef>
          </c:cat>
          <c:val>
            <c:numRef>
              <c:f>市场成交额!$AD$2:$AH$2</c:f>
              <c:numCache>
                <c:formatCode>General</c:formatCode>
                <c:ptCount val="5"/>
                <c:pt idx="0">
                  <c:v>1866.8</c:v>
                </c:pt>
                <c:pt idx="1">
                  <c:v>2020.9</c:v>
                </c:pt>
                <c:pt idx="2">
                  <c:v>2331.2800000000002</c:v>
                </c:pt>
                <c:pt idx="3">
                  <c:v>2798.03</c:v>
                </c:pt>
                <c:pt idx="4">
                  <c:v>3223.5</c:v>
                </c:pt>
              </c:numCache>
            </c:numRef>
          </c:val>
        </c:ser>
        <c:dLbls>
          <c:showLegendKey val="0"/>
          <c:showVal val="0"/>
          <c:showCatName val="0"/>
          <c:showSerName val="0"/>
          <c:showPercent val="0"/>
          <c:showBubbleSize val="0"/>
        </c:dLbls>
        <c:gapWidth val="75"/>
        <c:axId val="702635944"/>
        <c:axId val="702636336"/>
      </c:barChart>
      <c:lineChart>
        <c:grouping val="standard"/>
        <c:varyColors val="0"/>
        <c:ser>
          <c:idx val="1"/>
          <c:order val="1"/>
          <c:tx>
            <c:strRef>
              <c:f>市场成交额!$S$3</c:f>
              <c:strCache>
                <c:ptCount val="1"/>
                <c:pt idx="0">
                  <c:v>增幅</c:v>
                </c:pt>
              </c:strCache>
            </c:strRef>
          </c:tx>
          <c:marker>
            <c:symbol val="square"/>
            <c:size val="7"/>
          </c:marker>
          <c:dLbls>
            <c:dLbl>
              <c:idx val="0"/>
              <c:layout>
                <c:manualLayout>
                  <c:x val="-6.4125109361329841E-2"/>
                  <c:y val="-6.5289442986293383E-2"/>
                </c:manualLayout>
              </c:layout>
              <c:dLblPos val="r"/>
              <c:showLegendKey val="0"/>
              <c:showVal val="1"/>
              <c:showCatName val="0"/>
              <c:showSerName val="0"/>
              <c:showPercent val="0"/>
              <c:showBubbleSize val="0"/>
              <c:extLst>
                <c:ext xmlns:c15="http://schemas.microsoft.com/office/drawing/2012/chart" uri="{CE6537A1-D6FC-4f65-9D91-7224C49458BB}"/>
              </c:extLst>
            </c:dLbl>
            <c:dLbl>
              <c:idx val="1"/>
              <c:layout>
                <c:manualLayout>
                  <c:x val="-5.8569553805774277E-2"/>
                  <c:y val="5.0451297754447358E-2"/>
                </c:manualLayout>
              </c:layout>
              <c:dLblPos val="r"/>
              <c:showLegendKey val="0"/>
              <c:showVal val="1"/>
              <c:showCatName val="0"/>
              <c:showSerName val="0"/>
              <c:showPercent val="0"/>
              <c:showBubbleSize val="0"/>
              <c:extLst>
                <c:ext xmlns:c15="http://schemas.microsoft.com/office/drawing/2012/chart" uri="{CE6537A1-D6FC-4f65-9D91-7224C49458BB}"/>
              </c:extLst>
            </c:dLbl>
            <c:dLbl>
              <c:idx val="2"/>
              <c:layout>
                <c:manualLayout>
                  <c:x val="-5.8569553805774277E-2"/>
                  <c:y val="5.0451297754447358E-2"/>
                </c:manualLayout>
              </c:layout>
              <c:dLblPos val="r"/>
              <c:showLegendKey val="0"/>
              <c:showVal val="1"/>
              <c:showCatName val="0"/>
              <c:showSerName val="0"/>
              <c:showPercent val="0"/>
              <c:showBubbleSize val="0"/>
              <c:extLst>
                <c:ext xmlns:c15="http://schemas.microsoft.com/office/drawing/2012/chart" uri="{CE6537A1-D6FC-4f65-9D91-7224C49458BB}"/>
              </c:extLst>
            </c:dLbl>
            <c:dLbl>
              <c:idx val="3"/>
              <c:layout>
                <c:manualLayout>
                  <c:x val="-6.1347331583552059E-2"/>
                  <c:y val="7.3599445902595512E-2"/>
                </c:manualLayout>
              </c:layout>
              <c:dLblPos val="r"/>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a:lstStyle/>
              <a:p>
                <a:pPr>
                  <a:defRPr sz="1000" b="1" i="0" u="none" strike="noStrike" baseline="0">
                    <a:solidFill>
                      <a:srgbClr val="000000"/>
                    </a:solidFill>
                    <a:latin typeface="宋体"/>
                    <a:ea typeface="宋体"/>
                    <a:cs typeface="宋体"/>
                  </a:defRPr>
                </a:pPr>
                <a:endParaRPr lang="zh-CN"/>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市场成交额!$AB$1:$AF$1</c:f>
              <c:strCache>
                <c:ptCount val="5"/>
                <c:pt idx="0">
                  <c:v>2019年</c:v>
                </c:pt>
                <c:pt idx="1">
                  <c:v>2020年</c:v>
                </c:pt>
                <c:pt idx="2">
                  <c:v>2021年</c:v>
                </c:pt>
                <c:pt idx="3">
                  <c:v>2022年</c:v>
                </c:pt>
                <c:pt idx="4">
                  <c:v>2023年</c:v>
                </c:pt>
              </c:strCache>
            </c:strRef>
          </c:cat>
          <c:val>
            <c:numRef>
              <c:f>市场成交额!$AD$3:$AH$3</c:f>
              <c:numCache>
                <c:formatCode>0.0%</c:formatCode>
                <c:ptCount val="5"/>
                <c:pt idx="0">
                  <c:v>0.14800000000000002</c:v>
                </c:pt>
                <c:pt idx="1">
                  <c:v>8.3000000000000004E-2</c:v>
                </c:pt>
                <c:pt idx="2">
                  <c:v>0.15359999999999999</c:v>
                </c:pt>
                <c:pt idx="3">
                  <c:v>0.2</c:v>
                </c:pt>
                <c:pt idx="4">
                  <c:v>0.152</c:v>
                </c:pt>
              </c:numCache>
            </c:numRef>
          </c:val>
          <c:smooth val="0"/>
        </c:ser>
        <c:dLbls>
          <c:showLegendKey val="0"/>
          <c:showVal val="0"/>
          <c:showCatName val="0"/>
          <c:showSerName val="0"/>
          <c:showPercent val="0"/>
          <c:showBubbleSize val="0"/>
        </c:dLbls>
        <c:marker val="1"/>
        <c:smooth val="0"/>
        <c:axId val="702636728"/>
        <c:axId val="702637120"/>
      </c:lineChart>
      <c:catAx>
        <c:axId val="702635944"/>
        <c:scaling>
          <c:orientation val="minMax"/>
        </c:scaling>
        <c:delete val="0"/>
        <c:axPos val="b"/>
        <c:numFmt formatCode="General" sourceLinked="1"/>
        <c:majorTickMark val="none"/>
        <c:minorTickMark val="none"/>
        <c:tickLblPos val="nextTo"/>
        <c:txPr>
          <a:bodyPr rot="0" vert="horz"/>
          <a:lstStyle/>
          <a:p>
            <a:pPr>
              <a:defRPr sz="1000" b="0" i="0" u="none" strike="noStrike" baseline="0">
                <a:solidFill>
                  <a:srgbClr val="000000"/>
                </a:solidFill>
                <a:latin typeface="宋体"/>
                <a:ea typeface="宋体"/>
                <a:cs typeface="宋体"/>
              </a:defRPr>
            </a:pPr>
            <a:endParaRPr lang="zh-CN"/>
          </a:p>
        </c:txPr>
        <c:crossAx val="702636336"/>
        <c:crosses val="autoZero"/>
        <c:auto val="1"/>
        <c:lblAlgn val="ctr"/>
        <c:lblOffset val="100"/>
        <c:tickMarkSkip val="1"/>
        <c:noMultiLvlLbl val="0"/>
      </c:catAx>
      <c:valAx>
        <c:axId val="702636336"/>
        <c:scaling>
          <c:orientation val="minMax"/>
          <c:min val="0"/>
        </c:scaling>
        <c:delete val="0"/>
        <c:axPos val="l"/>
        <c:numFmt formatCode="0_);\(0\)" sourceLinked="0"/>
        <c:majorTickMark val="in"/>
        <c:minorTickMark val="none"/>
        <c:tickLblPos val="nextTo"/>
        <c:txPr>
          <a:bodyPr rot="0" vert="horz"/>
          <a:lstStyle/>
          <a:p>
            <a:pPr>
              <a:defRPr sz="1100" b="1" i="0" u="none" strike="noStrike" baseline="0">
                <a:solidFill>
                  <a:srgbClr val="000000"/>
                </a:solidFill>
                <a:latin typeface="宋体"/>
                <a:ea typeface="宋体"/>
                <a:cs typeface="宋体"/>
              </a:defRPr>
            </a:pPr>
            <a:endParaRPr lang="zh-CN"/>
          </a:p>
        </c:txPr>
        <c:crossAx val="702635944"/>
        <c:crosses val="autoZero"/>
        <c:crossBetween val="between"/>
        <c:majorUnit val="400"/>
      </c:valAx>
      <c:catAx>
        <c:axId val="702636728"/>
        <c:scaling>
          <c:orientation val="minMax"/>
        </c:scaling>
        <c:delete val="1"/>
        <c:axPos val="b"/>
        <c:numFmt formatCode="General" sourceLinked="1"/>
        <c:majorTickMark val="out"/>
        <c:minorTickMark val="none"/>
        <c:tickLblPos val="nextTo"/>
        <c:crossAx val="702637120"/>
        <c:crosses val="autoZero"/>
        <c:auto val="1"/>
        <c:lblAlgn val="ctr"/>
        <c:lblOffset val="100"/>
        <c:noMultiLvlLbl val="0"/>
      </c:catAx>
      <c:valAx>
        <c:axId val="702637120"/>
        <c:scaling>
          <c:orientation val="minMax"/>
          <c:max val="0.25"/>
        </c:scaling>
        <c:delete val="0"/>
        <c:axPos val="r"/>
        <c:numFmt formatCode="0%" sourceLinked="0"/>
        <c:majorTickMark val="in"/>
        <c:minorTickMark val="none"/>
        <c:tickLblPos val="nextTo"/>
        <c:txPr>
          <a:bodyPr rot="0" vert="horz"/>
          <a:lstStyle/>
          <a:p>
            <a:pPr>
              <a:defRPr sz="1000" b="1" i="0" u="none" strike="noStrike" baseline="0">
                <a:solidFill>
                  <a:srgbClr val="000000"/>
                </a:solidFill>
                <a:latin typeface="宋体"/>
                <a:ea typeface="宋体"/>
                <a:cs typeface="宋体"/>
              </a:defRPr>
            </a:pPr>
            <a:endParaRPr lang="zh-CN"/>
          </a:p>
        </c:txPr>
        <c:crossAx val="702636728"/>
        <c:crosses val="max"/>
        <c:crossBetween val="between"/>
        <c:majorUnit val="5.000000000000001E-2"/>
      </c:valAx>
    </c:plotArea>
    <c:legend>
      <c:legendPos val="b"/>
      <c:layout>
        <c:manualLayout>
          <c:xMode val="edge"/>
          <c:yMode val="edge"/>
          <c:x val="0.28111111111111114"/>
          <c:y val="0.91628280839895015"/>
          <c:w val="0.49333333333333335"/>
          <c:h val="8.3717191601049845E-2"/>
        </c:manualLayout>
      </c:layout>
      <c:overlay val="0"/>
      <c:txPr>
        <a:bodyPr/>
        <a:lstStyle/>
        <a:p>
          <a:pPr>
            <a:defRPr sz="920" b="0" i="0" u="none" strike="noStrike" baseline="0">
              <a:solidFill>
                <a:srgbClr val="000000"/>
              </a:solidFill>
              <a:latin typeface="宋体"/>
              <a:ea typeface="宋体"/>
              <a:cs typeface="宋体"/>
            </a:defRPr>
          </a:pPr>
          <a:endParaRPr lang="zh-CN"/>
        </a:p>
      </c:txPr>
    </c:legend>
    <c:plotVisOnly val="1"/>
    <c:dispBlanksAs val="gap"/>
    <c:showDLblsOverMax val="0"/>
  </c:chart>
  <c:txPr>
    <a:bodyPr/>
    <a:lstStyle/>
    <a:p>
      <a:pPr>
        <a:defRPr sz="1000" b="0" i="0" u="none" strike="noStrike" baseline="0">
          <a:solidFill>
            <a:srgbClr val="000000"/>
          </a:solidFill>
          <a:latin typeface="宋体"/>
          <a:ea typeface="宋体"/>
          <a:cs typeface="宋体"/>
        </a:defRPr>
      </a:pPr>
      <a:endParaRPr lang="zh-CN"/>
    </a:p>
  </c:txPr>
  <c:externalData r:id="rId1">
    <c:autoUpdate val="0"/>
  </c:externalData>
  <c:userShapes r:id="rId2"/>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1085681438580508"/>
          <c:y val="0.10975943524300842"/>
          <c:w val="0.79390966754155734"/>
          <c:h val="0.71460885097696125"/>
        </c:manualLayout>
      </c:layout>
      <c:barChart>
        <c:barDir val="col"/>
        <c:grouping val="clustered"/>
        <c:varyColors val="0"/>
        <c:ser>
          <c:idx val="0"/>
          <c:order val="0"/>
          <c:tx>
            <c:strRef>
              <c:f>进出口!$J$2</c:f>
              <c:strCache>
                <c:ptCount val="1"/>
                <c:pt idx="0">
                  <c:v>绝对值（亿元）</c:v>
                </c:pt>
              </c:strCache>
            </c:strRef>
          </c:tx>
          <c:spPr>
            <a:solidFill>
              <a:schemeClr val="accent1"/>
            </a:solidFill>
          </c:spPr>
          <c:invertIfNegative val="0"/>
          <c:dLbls>
            <c:dLbl>
              <c:idx val="0"/>
              <c:layout>
                <c:manualLayout>
                  <c:x val="-5.5556278605670157E-3"/>
                  <c:y val="1.3920897818807131E-2"/>
                </c:manualLayout>
              </c:layout>
              <c:dLblPos val="outEnd"/>
              <c:showLegendKey val="0"/>
              <c:showVal val="1"/>
              <c:showCatName val="0"/>
              <c:showSerName val="0"/>
              <c:showPercent val="0"/>
              <c:showBubbleSize val="0"/>
              <c:extLst>
                <c:ext xmlns:c15="http://schemas.microsoft.com/office/drawing/2012/chart" uri="{CE6537A1-D6FC-4f65-9D91-7224C49458BB}"/>
              </c:extLst>
            </c:dLbl>
            <c:dLbl>
              <c:idx val="1"/>
              <c:layout>
                <c:manualLayout>
                  <c:x val="2.7777777777777779E-3"/>
                  <c:y val="-9.2592592592592587E-3"/>
                </c:manualLayout>
              </c:layout>
              <c:dLblPos val="outEnd"/>
              <c:showLegendKey val="0"/>
              <c:showVal val="1"/>
              <c:showCatName val="0"/>
              <c:showSerName val="0"/>
              <c:showPercent val="0"/>
              <c:showBubbleSize val="0"/>
              <c:extLst>
                <c:ext xmlns:c15="http://schemas.microsoft.com/office/drawing/2012/chart" uri="{CE6537A1-D6FC-4f65-9D91-7224C49458BB}"/>
              </c:extLst>
            </c:dLbl>
            <c:dLbl>
              <c:idx val="2"/>
              <c:layout>
                <c:manualLayout>
                  <c:x val="-8.3333333333333332E-3"/>
                  <c:y val="0"/>
                </c:manualLayout>
              </c:layout>
              <c:dLblPos val="outEnd"/>
              <c:showLegendKey val="0"/>
              <c:showVal val="1"/>
              <c:showCatName val="0"/>
              <c:showSerName val="0"/>
              <c:showPercent val="0"/>
              <c:showBubbleSize val="0"/>
              <c:extLst>
                <c:ext xmlns:c15="http://schemas.microsoft.com/office/drawing/2012/chart" uri="{CE6537A1-D6FC-4f65-9D91-7224C49458BB}"/>
              </c:extLst>
            </c:dLbl>
            <c:dLbl>
              <c:idx val="4"/>
              <c:layout>
                <c:manualLayout>
                  <c:x val="-1.0100893414627432E-16"/>
                  <c:y val="9.1954022988505746E-3"/>
                </c:manualLayout>
              </c:layout>
              <c:dLblPos val="outEnd"/>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a:lstStyle/>
              <a:p>
                <a:pPr>
                  <a:defRPr sz="1200" b="1" i="0" u="none" strike="noStrike" baseline="0">
                    <a:solidFill>
                      <a:srgbClr val="000000"/>
                    </a:solidFill>
                    <a:latin typeface="宋体"/>
                    <a:ea typeface="宋体"/>
                    <a:cs typeface="宋体"/>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进出口!$U$1:$Y$1</c:f>
              <c:strCache>
                <c:ptCount val="5"/>
                <c:pt idx="0">
                  <c:v>2021年</c:v>
                </c:pt>
                <c:pt idx="1">
                  <c:v>2022年</c:v>
                </c:pt>
                <c:pt idx="2">
                  <c:v>2023年</c:v>
                </c:pt>
                <c:pt idx="3">
                  <c:v>2024年</c:v>
                </c:pt>
                <c:pt idx="4">
                  <c:v>2025年</c:v>
                </c:pt>
              </c:strCache>
            </c:strRef>
          </c:cat>
          <c:val>
            <c:numRef>
              <c:f>进出口!$U$2:$Y$2</c:f>
              <c:numCache>
                <c:formatCode>0.0_ </c:formatCode>
                <c:ptCount val="5"/>
                <c:pt idx="0">
                  <c:v>3659.12</c:v>
                </c:pt>
                <c:pt idx="1">
                  <c:v>4316.3999999999996</c:v>
                </c:pt>
                <c:pt idx="2">
                  <c:v>5005.7</c:v>
                </c:pt>
                <c:pt idx="3">
                  <c:v>5889.5</c:v>
                </c:pt>
                <c:pt idx="4" formatCode="General">
                  <c:v>7306.9</c:v>
                </c:pt>
              </c:numCache>
            </c:numRef>
          </c:val>
        </c:ser>
        <c:dLbls>
          <c:showLegendKey val="0"/>
          <c:showVal val="0"/>
          <c:showCatName val="0"/>
          <c:showSerName val="0"/>
          <c:showPercent val="0"/>
          <c:showBubbleSize val="0"/>
        </c:dLbls>
        <c:gapWidth val="75"/>
        <c:axId val="702637904"/>
        <c:axId val="702638296"/>
      </c:barChart>
      <c:lineChart>
        <c:grouping val="standard"/>
        <c:varyColors val="0"/>
        <c:ser>
          <c:idx val="1"/>
          <c:order val="1"/>
          <c:tx>
            <c:strRef>
              <c:f>进出口!$J$3</c:f>
              <c:strCache>
                <c:ptCount val="1"/>
                <c:pt idx="0">
                  <c:v>增幅</c:v>
                </c:pt>
              </c:strCache>
            </c:strRef>
          </c:tx>
          <c:marker>
            <c:symbol val="square"/>
            <c:size val="7"/>
          </c:marker>
          <c:dLbls>
            <c:dLbl>
              <c:idx val="0"/>
              <c:layout>
                <c:manualLayout>
                  <c:x val="-6.3797097676839984E-2"/>
                  <c:y val="5.0159471445379675E-2"/>
                </c:manualLayout>
              </c:layout>
              <c:dLblPos val="r"/>
              <c:showLegendKey val="0"/>
              <c:showVal val="1"/>
              <c:showCatName val="0"/>
              <c:showSerName val="0"/>
              <c:showPercent val="0"/>
              <c:showBubbleSize val="0"/>
              <c:extLst>
                <c:ext xmlns:c15="http://schemas.microsoft.com/office/drawing/2012/chart" uri="{CE6537A1-D6FC-4f65-9D91-7224C49458BB}"/>
              </c:extLst>
            </c:dLbl>
            <c:dLbl>
              <c:idx val="1"/>
              <c:layout>
                <c:manualLayout>
                  <c:x val="-5.8195483828984186E-2"/>
                  <c:y val="6.8549914019368274E-2"/>
                </c:manualLayout>
              </c:layout>
              <c:dLblPos val="r"/>
              <c:showLegendKey val="0"/>
              <c:showVal val="1"/>
              <c:showCatName val="0"/>
              <c:showSerName val="0"/>
              <c:showPercent val="0"/>
              <c:showBubbleSize val="0"/>
              <c:extLst>
                <c:ext xmlns:c15="http://schemas.microsoft.com/office/drawing/2012/chart" uri="{CE6537A1-D6FC-4f65-9D91-7224C49458BB}"/>
              </c:extLst>
            </c:dLbl>
            <c:dLbl>
              <c:idx val="2"/>
              <c:layout>
                <c:manualLayout>
                  <c:x val="-5.8333333333333334E-2"/>
                  <c:y val="-6.9444444444444448E-2"/>
                </c:manualLayout>
              </c:layout>
              <c:dLblPos val="r"/>
              <c:showLegendKey val="0"/>
              <c:showVal val="1"/>
              <c:showCatName val="0"/>
              <c:showSerName val="0"/>
              <c:showPercent val="0"/>
              <c:showBubbleSize val="0"/>
              <c:extLst>
                <c:ext xmlns:c15="http://schemas.microsoft.com/office/drawing/2012/chart" uri="{CE6537A1-D6FC-4f65-9D91-7224C49458BB}"/>
              </c:extLst>
            </c:dLbl>
            <c:dLbl>
              <c:idx val="3"/>
              <c:layout>
                <c:manualLayout>
                  <c:x val="-5.5578403939177026E-2"/>
                  <c:y val="-8.2247805231242643E-2"/>
                </c:manualLayout>
              </c:layout>
              <c:dLblPos val="r"/>
              <c:showLegendKey val="0"/>
              <c:showVal val="1"/>
              <c:showCatName val="0"/>
              <c:showSerName val="0"/>
              <c:showPercent val="0"/>
              <c:showBubbleSize val="0"/>
              <c:extLst>
                <c:ext xmlns:c15="http://schemas.microsoft.com/office/drawing/2012/chart" uri="{CE6537A1-D6FC-4f65-9D91-7224C49458BB}"/>
              </c:extLst>
            </c:dLbl>
            <c:dLbl>
              <c:idx val="4"/>
              <c:layout>
                <c:manualLayout>
                  <c:x val="-0.05"/>
                  <c:y val="-8.3333333333333329E-2"/>
                </c:manualLayout>
              </c:layout>
              <c:dLblPos val="r"/>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a:lstStyle/>
              <a:p>
                <a:pPr>
                  <a:defRPr sz="1000" b="1" i="0" u="none" strike="noStrike" baseline="0">
                    <a:solidFill>
                      <a:srgbClr val="000000"/>
                    </a:solidFill>
                    <a:latin typeface="宋体"/>
                    <a:ea typeface="宋体"/>
                    <a:cs typeface="宋体"/>
                  </a:defRPr>
                </a:pPr>
                <a:endParaRPr lang="zh-CN"/>
              </a:p>
            </c:txPr>
            <c:dLblPos val="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进出口!$S$1:$W$1</c:f>
              <c:strCache>
                <c:ptCount val="5"/>
                <c:pt idx="0">
                  <c:v>2019年</c:v>
                </c:pt>
                <c:pt idx="1">
                  <c:v>2020年</c:v>
                </c:pt>
                <c:pt idx="2">
                  <c:v>2021年</c:v>
                </c:pt>
                <c:pt idx="3">
                  <c:v>2022年</c:v>
                </c:pt>
                <c:pt idx="4">
                  <c:v>2023年</c:v>
                </c:pt>
              </c:strCache>
            </c:strRef>
          </c:cat>
          <c:val>
            <c:numRef>
              <c:f>进出口!$U$3:$Y$3</c:f>
              <c:numCache>
                <c:formatCode>0.0%</c:formatCode>
                <c:ptCount val="5"/>
                <c:pt idx="0">
                  <c:v>0.217</c:v>
                </c:pt>
                <c:pt idx="1">
                  <c:v>0.18</c:v>
                </c:pt>
                <c:pt idx="2">
                  <c:v>0.16</c:v>
                </c:pt>
                <c:pt idx="3">
                  <c:v>0.17699999999999999</c:v>
                </c:pt>
                <c:pt idx="4">
                  <c:v>0.24100000000000002</c:v>
                </c:pt>
              </c:numCache>
            </c:numRef>
          </c:val>
          <c:smooth val="0"/>
        </c:ser>
        <c:dLbls>
          <c:showLegendKey val="0"/>
          <c:showVal val="0"/>
          <c:showCatName val="0"/>
          <c:showSerName val="0"/>
          <c:showPercent val="0"/>
          <c:showBubbleSize val="0"/>
        </c:dLbls>
        <c:marker val="1"/>
        <c:smooth val="0"/>
        <c:axId val="702638688"/>
        <c:axId val="702639080"/>
      </c:lineChart>
      <c:catAx>
        <c:axId val="702637904"/>
        <c:scaling>
          <c:orientation val="minMax"/>
        </c:scaling>
        <c:delete val="0"/>
        <c:axPos val="b"/>
        <c:numFmt formatCode="General" sourceLinked="1"/>
        <c:majorTickMark val="none"/>
        <c:minorTickMark val="none"/>
        <c:tickLblPos val="nextTo"/>
        <c:txPr>
          <a:bodyPr rot="0" vert="horz"/>
          <a:lstStyle/>
          <a:p>
            <a:pPr>
              <a:defRPr sz="1000" b="0" i="0" u="none" strike="noStrike" baseline="0">
                <a:solidFill>
                  <a:srgbClr val="000000"/>
                </a:solidFill>
                <a:latin typeface="宋体"/>
                <a:ea typeface="宋体"/>
                <a:cs typeface="宋体"/>
              </a:defRPr>
            </a:pPr>
            <a:endParaRPr lang="zh-CN"/>
          </a:p>
        </c:txPr>
        <c:crossAx val="702638296"/>
        <c:crosses val="autoZero"/>
        <c:auto val="1"/>
        <c:lblAlgn val="ctr"/>
        <c:lblOffset val="100"/>
        <c:tickMarkSkip val="1"/>
        <c:noMultiLvlLbl val="0"/>
      </c:catAx>
      <c:valAx>
        <c:axId val="702638296"/>
        <c:scaling>
          <c:orientation val="minMax"/>
        </c:scaling>
        <c:delete val="0"/>
        <c:axPos val="l"/>
        <c:numFmt formatCode="0_);\(0\)" sourceLinked="0"/>
        <c:majorTickMark val="in"/>
        <c:minorTickMark val="none"/>
        <c:tickLblPos val="nextTo"/>
        <c:txPr>
          <a:bodyPr rot="0" vert="horz"/>
          <a:lstStyle/>
          <a:p>
            <a:pPr>
              <a:defRPr sz="1100" b="1" i="0" u="none" strike="noStrike" baseline="0">
                <a:solidFill>
                  <a:srgbClr val="000000"/>
                </a:solidFill>
                <a:latin typeface="宋体"/>
                <a:ea typeface="宋体"/>
                <a:cs typeface="宋体"/>
              </a:defRPr>
            </a:pPr>
            <a:endParaRPr lang="zh-CN"/>
          </a:p>
        </c:txPr>
        <c:crossAx val="702637904"/>
        <c:crosses val="autoZero"/>
        <c:crossBetween val="between"/>
      </c:valAx>
      <c:catAx>
        <c:axId val="702638688"/>
        <c:scaling>
          <c:orientation val="minMax"/>
        </c:scaling>
        <c:delete val="1"/>
        <c:axPos val="b"/>
        <c:numFmt formatCode="General" sourceLinked="1"/>
        <c:majorTickMark val="out"/>
        <c:minorTickMark val="none"/>
        <c:tickLblPos val="nextTo"/>
        <c:crossAx val="702639080"/>
        <c:crosses val="autoZero"/>
        <c:auto val="1"/>
        <c:lblAlgn val="ctr"/>
        <c:lblOffset val="100"/>
        <c:noMultiLvlLbl val="0"/>
      </c:catAx>
      <c:valAx>
        <c:axId val="702639080"/>
        <c:scaling>
          <c:orientation val="minMax"/>
          <c:max val="0.5"/>
          <c:min val="0"/>
        </c:scaling>
        <c:delete val="0"/>
        <c:axPos val="r"/>
        <c:numFmt formatCode="0%" sourceLinked="0"/>
        <c:majorTickMark val="in"/>
        <c:minorTickMark val="none"/>
        <c:tickLblPos val="nextTo"/>
        <c:txPr>
          <a:bodyPr rot="0" vert="horz"/>
          <a:lstStyle/>
          <a:p>
            <a:pPr>
              <a:defRPr sz="1000" b="1" i="0" u="none" strike="noStrike" baseline="0">
                <a:solidFill>
                  <a:srgbClr val="000000"/>
                </a:solidFill>
                <a:latin typeface="宋体"/>
                <a:ea typeface="宋体"/>
                <a:cs typeface="宋体"/>
              </a:defRPr>
            </a:pPr>
            <a:endParaRPr lang="zh-CN"/>
          </a:p>
        </c:txPr>
        <c:crossAx val="702638688"/>
        <c:crosses val="max"/>
        <c:crossBetween val="between"/>
        <c:majorUnit val="0.1"/>
      </c:valAx>
    </c:plotArea>
    <c:legend>
      <c:legendPos val="b"/>
      <c:layout>
        <c:manualLayout>
          <c:xMode val="edge"/>
          <c:yMode val="edge"/>
          <c:x val="0.25055551940304982"/>
          <c:y val="0.90702362204724407"/>
          <c:w val="0.52666666666666662"/>
          <c:h val="8.371725948049602E-2"/>
        </c:manualLayout>
      </c:layout>
      <c:overlay val="0"/>
      <c:txPr>
        <a:bodyPr/>
        <a:lstStyle/>
        <a:p>
          <a:pPr>
            <a:defRPr sz="920" b="0" i="0" u="none" strike="noStrike" baseline="0">
              <a:solidFill>
                <a:srgbClr val="000000"/>
              </a:solidFill>
              <a:latin typeface="宋体"/>
              <a:ea typeface="宋体"/>
              <a:cs typeface="宋体"/>
            </a:defRPr>
          </a:pPr>
          <a:endParaRPr lang="zh-CN"/>
        </a:p>
      </c:txPr>
    </c:legend>
    <c:plotVisOnly val="1"/>
    <c:dispBlanksAs val="gap"/>
    <c:showDLblsOverMax val="0"/>
  </c:chart>
  <c:txPr>
    <a:bodyPr/>
    <a:lstStyle/>
    <a:p>
      <a:pPr>
        <a:defRPr sz="1000" b="0" i="0" u="none" strike="noStrike" baseline="0">
          <a:solidFill>
            <a:srgbClr val="000000"/>
          </a:solidFill>
          <a:latin typeface="宋体"/>
          <a:ea typeface="宋体"/>
          <a:cs typeface="宋体"/>
        </a:defRPr>
      </a:pPr>
      <a:endParaRPr lang="zh-CN"/>
    </a:p>
  </c:txPr>
  <c:externalData r:id="rId1">
    <c:autoUpdate val="0"/>
  </c:externalData>
  <c:userShapes r:id="rId2"/>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9.2615923009623791E-2"/>
          <c:y val="0.10053222513852435"/>
          <c:w val="0.82347900262467189"/>
          <c:h val="0.71460885097696125"/>
        </c:manualLayout>
      </c:layout>
      <c:barChart>
        <c:barDir val="col"/>
        <c:grouping val="clustered"/>
        <c:varyColors val="0"/>
        <c:ser>
          <c:idx val="0"/>
          <c:order val="0"/>
          <c:tx>
            <c:strRef>
              <c:f>汽车保有量!$A$2</c:f>
              <c:strCache>
                <c:ptCount val="1"/>
                <c:pt idx="0">
                  <c:v>绝对数（万辆）</c:v>
                </c:pt>
              </c:strCache>
            </c:strRef>
          </c:tx>
          <c:spPr>
            <a:solidFill>
              <a:schemeClr val="accent1"/>
            </a:solidFill>
          </c:spPr>
          <c:invertIfNegative val="0"/>
          <c:dLbls>
            <c:dLbl>
              <c:idx val="0"/>
              <c:layout>
                <c:manualLayout>
                  <c:x val="-2.7777777777777779E-3"/>
                  <c:y val="-9.2592592592593021E-3"/>
                </c:manualLayout>
              </c:layout>
              <c:dLblPos val="outEnd"/>
              <c:showLegendKey val="0"/>
              <c:showVal val="1"/>
              <c:showCatName val="0"/>
              <c:showSerName val="0"/>
              <c:showPercent val="0"/>
              <c:showBubbleSize val="0"/>
              <c:extLst>
                <c:ext xmlns:c15="http://schemas.microsoft.com/office/drawing/2012/chart" uri="{CE6537A1-D6FC-4f65-9D91-7224C49458BB}"/>
              </c:extLst>
            </c:dLbl>
            <c:dLbl>
              <c:idx val="1"/>
              <c:layout>
                <c:manualLayout>
                  <c:x val="0"/>
                  <c:y val="3.2407407407407406E-2"/>
                </c:manualLayout>
              </c:layout>
              <c:dLblPos val="outEnd"/>
              <c:showLegendKey val="0"/>
              <c:showVal val="1"/>
              <c:showCatName val="0"/>
              <c:showSerName val="0"/>
              <c:showPercent val="0"/>
              <c:showBubbleSize val="0"/>
              <c:extLst>
                <c:ext xmlns:c15="http://schemas.microsoft.com/office/drawing/2012/chart" uri="{CE6537A1-D6FC-4f65-9D91-7224C49458BB}"/>
              </c:extLst>
            </c:dLbl>
            <c:dLbl>
              <c:idx val="2"/>
              <c:layout>
                <c:manualLayout>
                  <c:x val="0"/>
                  <c:y val="0"/>
                </c:manualLayout>
              </c:layout>
              <c:dLblPos val="outEnd"/>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a:lstStyle/>
              <a:p>
                <a:pPr>
                  <a:defRPr sz="1200" b="1" i="0" u="none" strike="noStrike" baseline="0">
                    <a:solidFill>
                      <a:srgbClr val="000000"/>
                    </a:solidFill>
                    <a:latin typeface="宋体"/>
                    <a:ea typeface="宋体"/>
                    <a:cs typeface="宋体"/>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汽车保有量!$L$1:$P$1</c:f>
              <c:strCache>
                <c:ptCount val="5"/>
                <c:pt idx="0">
                  <c:v>2021年</c:v>
                </c:pt>
                <c:pt idx="1">
                  <c:v>2022年</c:v>
                </c:pt>
                <c:pt idx="2">
                  <c:v>2023年</c:v>
                </c:pt>
                <c:pt idx="3">
                  <c:v>2024年</c:v>
                </c:pt>
                <c:pt idx="4">
                  <c:v>2025年</c:v>
                </c:pt>
              </c:strCache>
            </c:strRef>
          </c:cat>
          <c:val>
            <c:numRef>
              <c:f>汽车保有量!$L$2:$P$2</c:f>
              <c:numCache>
                <c:formatCode>0.00_ </c:formatCode>
                <c:ptCount val="5"/>
                <c:pt idx="0" formatCode="0.0_ ">
                  <c:v>77.7</c:v>
                </c:pt>
                <c:pt idx="1">
                  <c:v>83.13</c:v>
                </c:pt>
                <c:pt idx="2" formatCode="0.0_ ">
                  <c:v>88.9</c:v>
                </c:pt>
                <c:pt idx="3">
                  <c:v>94.96</c:v>
                </c:pt>
                <c:pt idx="4">
                  <c:v>99.62</c:v>
                </c:pt>
              </c:numCache>
            </c:numRef>
          </c:val>
        </c:ser>
        <c:dLbls>
          <c:showLegendKey val="0"/>
          <c:showVal val="0"/>
          <c:showCatName val="0"/>
          <c:showSerName val="0"/>
          <c:showPercent val="0"/>
          <c:showBubbleSize val="0"/>
        </c:dLbls>
        <c:gapWidth val="75"/>
        <c:axId val="702639864"/>
        <c:axId val="702640256"/>
      </c:barChart>
      <c:lineChart>
        <c:grouping val="standard"/>
        <c:varyColors val="0"/>
        <c:ser>
          <c:idx val="1"/>
          <c:order val="1"/>
          <c:tx>
            <c:strRef>
              <c:f>汽车保有量!$A$3</c:f>
              <c:strCache>
                <c:ptCount val="1"/>
                <c:pt idx="0">
                  <c:v>增幅</c:v>
                </c:pt>
              </c:strCache>
            </c:strRef>
          </c:tx>
          <c:marker>
            <c:symbol val="square"/>
            <c:size val="7"/>
          </c:marker>
          <c:dLbls>
            <c:dLbl>
              <c:idx val="0"/>
              <c:layout>
                <c:manualLayout>
                  <c:x val="-6.4125109361329841E-2"/>
                  <c:y val="5.0451297754447358E-2"/>
                </c:manualLayout>
              </c:layout>
              <c:dLblPos val="r"/>
              <c:showLegendKey val="0"/>
              <c:showVal val="1"/>
              <c:showCatName val="0"/>
              <c:showSerName val="0"/>
              <c:showPercent val="0"/>
              <c:showBubbleSize val="0"/>
              <c:extLst>
                <c:ext xmlns:c15="http://schemas.microsoft.com/office/drawing/2012/chart" uri="{CE6537A1-D6FC-4f65-9D91-7224C49458BB}"/>
              </c:extLst>
            </c:dLbl>
            <c:dLbl>
              <c:idx val="1"/>
              <c:layout>
                <c:manualLayout>
                  <c:x val="-4.8408025617622946E-2"/>
                  <c:y val="-4.6771289005540971E-2"/>
                </c:manualLayout>
              </c:layout>
              <c:dLblPos val="r"/>
              <c:showLegendKey val="0"/>
              <c:showVal val="1"/>
              <c:showCatName val="0"/>
              <c:showSerName val="0"/>
              <c:showPercent val="0"/>
              <c:showBubbleSize val="0"/>
              <c:extLst>
                <c:ext xmlns:c15="http://schemas.microsoft.com/office/drawing/2012/chart" uri="{CE6537A1-D6FC-4f65-9D91-7224C49458BB}"/>
              </c:extLst>
            </c:dLbl>
            <c:dLbl>
              <c:idx val="2"/>
              <c:layout>
                <c:manualLayout>
                  <c:x val="-4.5788510227970029E-2"/>
                  <c:y val="-6.9919437153689118E-2"/>
                </c:manualLayout>
              </c:layout>
              <c:dLblPos val="r"/>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a:lstStyle/>
              <a:p>
                <a:pPr>
                  <a:defRPr sz="1000" b="1" i="0" u="none" strike="noStrike" baseline="0">
                    <a:solidFill>
                      <a:srgbClr val="000000"/>
                    </a:solidFill>
                    <a:latin typeface="宋体"/>
                    <a:ea typeface="宋体"/>
                    <a:cs typeface="宋体"/>
                  </a:defRPr>
                </a:pPr>
                <a:endParaRPr lang="zh-CN"/>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汽车保有量!$J$1:$N$1</c:f>
              <c:strCache>
                <c:ptCount val="5"/>
                <c:pt idx="0">
                  <c:v>2019年</c:v>
                </c:pt>
                <c:pt idx="1">
                  <c:v>2020年</c:v>
                </c:pt>
                <c:pt idx="2">
                  <c:v>2021年</c:v>
                </c:pt>
                <c:pt idx="3">
                  <c:v>2022年</c:v>
                </c:pt>
                <c:pt idx="4">
                  <c:v>2023年</c:v>
                </c:pt>
              </c:strCache>
            </c:strRef>
          </c:cat>
          <c:val>
            <c:numRef>
              <c:f>汽车保有量!$L$3:$P$3</c:f>
              <c:numCache>
                <c:formatCode>0.0%</c:formatCode>
                <c:ptCount val="5"/>
                <c:pt idx="0">
                  <c:v>8.900000000000001E-2</c:v>
                </c:pt>
                <c:pt idx="1">
                  <c:v>7.0000000000000007E-2</c:v>
                </c:pt>
                <c:pt idx="2">
                  <c:v>6.9500000000000006E-2</c:v>
                </c:pt>
                <c:pt idx="3">
                  <c:v>6.8000000000000005E-2</c:v>
                </c:pt>
                <c:pt idx="4">
                  <c:v>4.9000000000000002E-2</c:v>
                </c:pt>
              </c:numCache>
            </c:numRef>
          </c:val>
          <c:smooth val="0"/>
        </c:ser>
        <c:dLbls>
          <c:showLegendKey val="0"/>
          <c:showVal val="0"/>
          <c:showCatName val="0"/>
          <c:showSerName val="0"/>
          <c:showPercent val="0"/>
          <c:showBubbleSize val="0"/>
        </c:dLbls>
        <c:marker val="1"/>
        <c:smooth val="0"/>
        <c:axId val="702640648"/>
        <c:axId val="702641040"/>
      </c:lineChart>
      <c:catAx>
        <c:axId val="702639864"/>
        <c:scaling>
          <c:orientation val="minMax"/>
        </c:scaling>
        <c:delete val="0"/>
        <c:axPos val="b"/>
        <c:numFmt formatCode="General" sourceLinked="1"/>
        <c:majorTickMark val="none"/>
        <c:minorTickMark val="none"/>
        <c:tickLblPos val="nextTo"/>
        <c:txPr>
          <a:bodyPr rot="0" vert="horz"/>
          <a:lstStyle/>
          <a:p>
            <a:pPr>
              <a:defRPr sz="1000" b="0" i="0" u="none" strike="noStrike" baseline="0">
                <a:solidFill>
                  <a:srgbClr val="000000"/>
                </a:solidFill>
                <a:latin typeface="宋体"/>
                <a:ea typeface="宋体"/>
                <a:cs typeface="宋体"/>
              </a:defRPr>
            </a:pPr>
            <a:endParaRPr lang="zh-CN"/>
          </a:p>
        </c:txPr>
        <c:crossAx val="702640256"/>
        <c:crosses val="autoZero"/>
        <c:auto val="1"/>
        <c:lblAlgn val="ctr"/>
        <c:lblOffset val="100"/>
        <c:tickMarkSkip val="1"/>
        <c:noMultiLvlLbl val="0"/>
      </c:catAx>
      <c:valAx>
        <c:axId val="702640256"/>
        <c:scaling>
          <c:orientation val="minMax"/>
        </c:scaling>
        <c:delete val="0"/>
        <c:axPos val="l"/>
        <c:numFmt formatCode="0_);\(0\)" sourceLinked="0"/>
        <c:majorTickMark val="in"/>
        <c:minorTickMark val="none"/>
        <c:tickLblPos val="nextTo"/>
        <c:txPr>
          <a:bodyPr rot="0" vert="horz"/>
          <a:lstStyle/>
          <a:p>
            <a:pPr>
              <a:defRPr sz="1100" b="1" i="0" u="none" strike="noStrike" baseline="0">
                <a:solidFill>
                  <a:srgbClr val="000000"/>
                </a:solidFill>
                <a:latin typeface="宋体"/>
                <a:ea typeface="宋体"/>
                <a:cs typeface="宋体"/>
              </a:defRPr>
            </a:pPr>
            <a:endParaRPr lang="zh-CN"/>
          </a:p>
        </c:txPr>
        <c:crossAx val="702639864"/>
        <c:crosses val="autoZero"/>
        <c:crossBetween val="between"/>
      </c:valAx>
      <c:catAx>
        <c:axId val="702640648"/>
        <c:scaling>
          <c:orientation val="minMax"/>
        </c:scaling>
        <c:delete val="1"/>
        <c:axPos val="b"/>
        <c:numFmt formatCode="General" sourceLinked="1"/>
        <c:majorTickMark val="out"/>
        <c:minorTickMark val="none"/>
        <c:tickLblPos val="nextTo"/>
        <c:crossAx val="702641040"/>
        <c:crosses val="autoZero"/>
        <c:auto val="1"/>
        <c:lblAlgn val="ctr"/>
        <c:lblOffset val="100"/>
        <c:noMultiLvlLbl val="0"/>
      </c:catAx>
      <c:valAx>
        <c:axId val="702641040"/>
        <c:scaling>
          <c:orientation val="minMax"/>
          <c:max val="0.15"/>
          <c:min val="0"/>
        </c:scaling>
        <c:delete val="0"/>
        <c:axPos val="r"/>
        <c:numFmt formatCode="0%" sourceLinked="0"/>
        <c:majorTickMark val="in"/>
        <c:minorTickMark val="none"/>
        <c:tickLblPos val="nextTo"/>
        <c:txPr>
          <a:bodyPr rot="0" vert="horz"/>
          <a:lstStyle/>
          <a:p>
            <a:pPr>
              <a:defRPr sz="1000" b="1" i="0" u="none" strike="noStrike" baseline="0">
                <a:solidFill>
                  <a:srgbClr val="000000"/>
                </a:solidFill>
                <a:latin typeface="宋体"/>
                <a:ea typeface="宋体"/>
                <a:cs typeface="宋体"/>
              </a:defRPr>
            </a:pPr>
            <a:endParaRPr lang="zh-CN"/>
          </a:p>
        </c:txPr>
        <c:crossAx val="702640648"/>
        <c:crosses val="max"/>
        <c:crossBetween val="between"/>
        <c:majorUnit val="5.000000000000001E-2"/>
      </c:valAx>
    </c:plotArea>
    <c:legend>
      <c:legendPos val="b"/>
      <c:layout>
        <c:manualLayout>
          <c:xMode val="edge"/>
          <c:yMode val="edge"/>
          <c:x val="0.22833325598543797"/>
          <c:y val="0.89776428988043167"/>
          <c:w val="0.4933333333333334"/>
          <c:h val="8.3717191601049845E-2"/>
        </c:manualLayout>
      </c:layout>
      <c:overlay val="0"/>
      <c:txPr>
        <a:bodyPr/>
        <a:lstStyle/>
        <a:p>
          <a:pPr>
            <a:defRPr sz="920" b="0" i="0" u="none" strike="noStrike" baseline="0">
              <a:solidFill>
                <a:srgbClr val="000000"/>
              </a:solidFill>
              <a:latin typeface="宋体"/>
              <a:ea typeface="宋体"/>
              <a:cs typeface="宋体"/>
            </a:defRPr>
          </a:pPr>
          <a:endParaRPr lang="zh-CN"/>
        </a:p>
      </c:txPr>
    </c:legend>
    <c:plotVisOnly val="1"/>
    <c:dispBlanksAs val="gap"/>
    <c:showDLblsOverMax val="0"/>
  </c:chart>
  <c:txPr>
    <a:bodyPr/>
    <a:lstStyle/>
    <a:p>
      <a:pPr>
        <a:defRPr sz="1000" b="0" i="0" u="none" strike="noStrike" baseline="0">
          <a:solidFill>
            <a:srgbClr val="000000"/>
          </a:solidFill>
          <a:latin typeface="宋体"/>
          <a:ea typeface="宋体"/>
          <a:cs typeface="宋体"/>
        </a:defRPr>
      </a:pPr>
      <a:endParaRPr lang="zh-CN"/>
    </a:p>
  </c:txPr>
  <c:externalData r:id="rId1">
    <c:autoUpdate val="0"/>
  </c:externalData>
  <c:userShapes r:id="rId2"/>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0810192475940505"/>
          <c:y val="0.10979148439778361"/>
          <c:w val="0.80799300087489068"/>
          <c:h val="0.71460885097696125"/>
        </c:manualLayout>
      </c:layout>
      <c:barChart>
        <c:barDir val="col"/>
        <c:grouping val="clustered"/>
        <c:varyColors val="0"/>
        <c:ser>
          <c:idx val="0"/>
          <c:order val="0"/>
          <c:tx>
            <c:strRef>
              <c:f>财政!$A$2</c:f>
              <c:strCache>
                <c:ptCount val="1"/>
                <c:pt idx="0">
                  <c:v>绝对值（亿元）</c:v>
                </c:pt>
              </c:strCache>
            </c:strRef>
          </c:tx>
          <c:spPr>
            <a:solidFill>
              <a:schemeClr val="accent1"/>
            </a:solidFill>
          </c:spPr>
          <c:invertIfNegative val="0"/>
          <c:dLbls>
            <c:dLbl>
              <c:idx val="0"/>
              <c:layout>
                <c:manualLayout>
                  <c:x val="2.7777777777777779E-3"/>
                  <c:y val="-9.2596237970253726E-3"/>
                </c:manualLayout>
              </c:layout>
              <c:dLblPos val="outEnd"/>
              <c:showLegendKey val="0"/>
              <c:showVal val="1"/>
              <c:showCatName val="0"/>
              <c:showSerName val="0"/>
              <c:showPercent val="0"/>
              <c:showBubbleSize val="0"/>
              <c:extLst>
                <c:ext xmlns:c15="http://schemas.microsoft.com/office/drawing/2012/chart" uri="{CE6537A1-D6FC-4f65-9D91-7224C49458BB}"/>
              </c:extLst>
            </c:dLbl>
            <c:dLbl>
              <c:idx val="2"/>
              <c:layout>
                <c:manualLayout>
                  <c:x val="0"/>
                  <c:y val="1.3888888888888888E-2"/>
                </c:manualLayout>
              </c:layout>
              <c:dLblPos val="outEnd"/>
              <c:showLegendKey val="0"/>
              <c:showVal val="1"/>
              <c:showCatName val="0"/>
              <c:showSerName val="0"/>
              <c:showPercent val="0"/>
              <c:showBubbleSize val="0"/>
              <c:extLst>
                <c:ext xmlns:c15="http://schemas.microsoft.com/office/drawing/2012/chart" uri="{CE6537A1-D6FC-4f65-9D91-7224C49458BB}"/>
              </c:extLst>
            </c:dLbl>
            <c:dLbl>
              <c:idx val="3"/>
              <c:layout>
                <c:manualLayout>
                  <c:x val="2.7777777777777779E-3"/>
                  <c:y val="-2.3148148148148126E-2"/>
                </c:manualLayout>
              </c:layout>
              <c:dLblPos val="outEnd"/>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a:lstStyle/>
              <a:p>
                <a:pPr>
                  <a:defRPr sz="1200" b="1" i="0" u="none" strike="noStrike" baseline="0">
                    <a:solidFill>
                      <a:srgbClr val="000000"/>
                    </a:solidFill>
                    <a:latin typeface="宋体"/>
                    <a:ea typeface="宋体"/>
                    <a:cs typeface="宋体"/>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财政!$L$1:$P$1</c:f>
              <c:strCache>
                <c:ptCount val="5"/>
                <c:pt idx="0">
                  <c:v>2021年</c:v>
                </c:pt>
                <c:pt idx="1">
                  <c:v>2022年</c:v>
                </c:pt>
                <c:pt idx="2">
                  <c:v>2023年</c:v>
                </c:pt>
                <c:pt idx="3">
                  <c:v>2024年</c:v>
                </c:pt>
                <c:pt idx="4">
                  <c:v>2025年</c:v>
                </c:pt>
              </c:strCache>
            </c:strRef>
          </c:cat>
          <c:val>
            <c:numRef>
              <c:f>财政!$L$2:$P$2</c:f>
              <c:numCache>
                <c:formatCode>0.0_);[Red]\(0.0\)</c:formatCode>
                <c:ptCount val="5"/>
                <c:pt idx="0">
                  <c:v>193.7</c:v>
                </c:pt>
                <c:pt idx="1">
                  <c:v>211.6</c:v>
                </c:pt>
                <c:pt idx="2">
                  <c:v>234.9</c:v>
                </c:pt>
                <c:pt idx="3">
                  <c:v>231.1</c:v>
                </c:pt>
                <c:pt idx="4">
                  <c:v>259.3</c:v>
                </c:pt>
              </c:numCache>
            </c:numRef>
          </c:val>
        </c:ser>
        <c:dLbls>
          <c:showLegendKey val="0"/>
          <c:showVal val="0"/>
          <c:showCatName val="0"/>
          <c:showSerName val="0"/>
          <c:showPercent val="0"/>
          <c:showBubbleSize val="0"/>
        </c:dLbls>
        <c:gapWidth val="75"/>
        <c:axId val="702641824"/>
        <c:axId val="702642216"/>
      </c:barChart>
      <c:lineChart>
        <c:grouping val="standard"/>
        <c:varyColors val="0"/>
        <c:ser>
          <c:idx val="1"/>
          <c:order val="1"/>
          <c:tx>
            <c:strRef>
              <c:f>财政!$A$3</c:f>
              <c:strCache>
                <c:ptCount val="1"/>
                <c:pt idx="0">
                  <c:v>增幅</c:v>
                </c:pt>
              </c:strCache>
            </c:strRef>
          </c:tx>
          <c:marker>
            <c:symbol val="square"/>
            <c:size val="7"/>
          </c:marker>
          <c:dLbls>
            <c:dLbl>
              <c:idx val="0"/>
              <c:layout>
                <c:manualLayout>
                  <c:x val="-5.7083333333333333E-2"/>
                  <c:y val="6.0659448818897635E-2"/>
                </c:manualLayout>
              </c:layout>
              <c:dLblPos val="r"/>
              <c:showLegendKey val="0"/>
              <c:showVal val="1"/>
              <c:showCatName val="0"/>
              <c:showSerName val="0"/>
              <c:showPercent val="0"/>
              <c:showBubbleSize val="0"/>
              <c:extLst>
                <c:ext xmlns:c15="http://schemas.microsoft.com/office/drawing/2012/chart" uri="{CE6537A1-D6FC-4f65-9D91-7224C49458BB}"/>
              </c:extLst>
            </c:dLbl>
            <c:dLbl>
              <c:idx val="1"/>
              <c:layout>
                <c:manualLayout>
                  <c:x val="-5.9861111111111108E-2"/>
                  <c:y val="6.5289078448527271E-2"/>
                </c:manualLayout>
              </c:layout>
              <c:dLblPos val="r"/>
              <c:showLegendKey val="0"/>
              <c:showVal val="1"/>
              <c:showCatName val="0"/>
              <c:showSerName val="0"/>
              <c:showPercent val="0"/>
              <c:showBubbleSize val="0"/>
              <c:extLst>
                <c:ext xmlns:c15="http://schemas.microsoft.com/office/drawing/2012/chart" uri="{CE6537A1-D6FC-4f65-9D91-7224C49458BB}"/>
              </c:extLst>
            </c:dLbl>
            <c:dLbl>
              <c:idx val="2"/>
              <c:layout>
                <c:manualLayout>
                  <c:x val="-6.2638888888888883E-2"/>
                  <c:y val="-6.4340186643336253E-2"/>
                </c:manualLayout>
              </c:layout>
              <c:dLblPos val="r"/>
              <c:showLegendKey val="0"/>
              <c:showVal val="1"/>
              <c:showCatName val="0"/>
              <c:showSerName val="0"/>
              <c:showPercent val="0"/>
              <c:showBubbleSize val="0"/>
              <c:extLst>
                <c:ext xmlns:c15="http://schemas.microsoft.com/office/drawing/2012/chart" uri="{CE6537A1-D6FC-4f65-9D91-7224C49458BB}"/>
              </c:extLst>
            </c:dLbl>
            <c:dLbl>
              <c:idx val="3"/>
              <c:layout>
                <c:manualLayout>
                  <c:x val="-5.1527777777777777E-2"/>
                  <c:y val="-0.10137722368037329"/>
                </c:manualLayout>
              </c:layout>
              <c:dLblPos val="r"/>
              <c:showLegendKey val="0"/>
              <c:showVal val="1"/>
              <c:showCatName val="0"/>
              <c:showSerName val="0"/>
              <c:showPercent val="0"/>
              <c:showBubbleSize val="0"/>
              <c:extLst>
                <c:ext xmlns:c15="http://schemas.microsoft.com/office/drawing/2012/chart" uri="{CE6537A1-D6FC-4f65-9D91-7224C49458BB}"/>
              </c:extLst>
            </c:dLbl>
            <c:dLbl>
              <c:idx val="4"/>
              <c:layout>
                <c:manualLayout>
                  <c:x val="-5.4305774278215223E-2"/>
                  <c:y val="-5.0451297754447358E-2"/>
                </c:manualLayout>
              </c:layout>
              <c:dLblPos val="r"/>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a:lstStyle/>
              <a:p>
                <a:pPr>
                  <a:defRPr sz="1000" b="1" i="0" u="none" strike="noStrike" baseline="0">
                    <a:solidFill>
                      <a:srgbClr val="000000"/>
                    </a:solidFill>
                    <a:latin typeface="宋体"/>
                    <a:ea typeface="宋体"/>
                    <a:cs typeface="宋体"/>
                  </a:defRPr>
                </a:pPr>
                <a:endParaRPr lang="zh-CN"/>
              </a:p>
            </c:txPr>
            <c:dLblPos val="b"/>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财政!$J$1:$N$1</c:f>
              <c:strCache>
                <c:ptCount val="5"/>
                <c:pt idx="0">
                  <c:v>2019年</c:v>
                </c:pt>
                <c:pt idx="1">
                  <c:v>2020年</c:v>
                </c:pt>
                <c:pt idx="2">
                  <c:v>2021年</c:v>
                </c:pt>
                <c:pt idx="3">
                  <c:v>2022年</c:v>
                </c:pt>
                <c:pt idx="4">
                  <c:v>2023年</c:v>
                </c:pt>
              </c:strCache>
            </c:strRef>
          </c:cat>
          <c:val>
            <c:numRef>
              <c:f>财政!$L$3:$P$3</c:f>
              <c:numCache>
                <c:formatCode>0.0%</c:formatCode>
                <c:ptCount val="5"/>
                <c:pt idx="0">
                  <c:v>0.19400000000000001</c:v>
                </c:pt>
                <c:pt idx="1">
                  <c:v>9.1999999999999998E-2</c:v>
                </c:pt>
                <c:pt idx="2">
                  <c:v>0.11</c:v>
                </c:pt>
                <c:pt idx="3">
                  <c:v>-1.6E-2</c:v>
                </c:pt>
                <c:pt idx="4">
                  <c:v>0.122</c:v>
                </c:pt>
              </c:numCache>
            </c:numRef>
          </c:val>
          <c:smooth val="0"/>
        </c:ser>
        <c:dLbls>
          <c:showLegendKey val="0"/>
          <c:showVal val="0"/>
          <c:showCatName val="0"/>
          <c:showSerName val="0"/>
          <c:showPercent val="0"/>
          <c:showBubbleSize val="0"/>
        </c:dLbls>
        <c:marker val="1"/>
        <c:smooth val="0"/>
        <c:axId val="702642608"/>
        <c:axId val="702643000"/>
      </c:lineChart>
      <c:catAx>
        <c:axId val="702641824"/>
        <c:scaling>
          <c:orientation val="minMax"/>
        </c:scaling>
        <c:delete val="0"/>
        <c:axPos val="b"/>
        <c:numFmt formatCode="General" sourceLinked="1"/>
        <c:majorTickMark val="none"/>
        <c:minorTickMark val="none"/>
        <c:tickLblPos val="nextTo"/>
        <c:txPr>
          <a:bodyPr rot="0" vert="horz"/>
          <a:lstStyle/>
          <a:p>
            <a:pPr>
              <a:defRPr sz="1000" b="0" i="0" u="none" strike="noStrike" baseline="0">
                <a:solidFill>
                  <a:srgbClr val="000000"/>
                </a:solidFill>
                <a:latin typeface="宋体"/>
                <a:ea typeface="宋体"/>
                <a:cs typeface="宋体"/>
              </a:defRPr>
            </a:pPr>
            <a:endParaRPr lang="zh-CN"/>
          </a:p>
        </c:txPr>
        <c:crossAx val="702642216"/>
        <c:crosses val="autoZero"/>
        <c:auto val="1"/>
        <c:lblAlgn val="ctr"/>
        <c:lblOffset val="100"/>
        <c:tickMarkSkip val="1"/>
        <c:noMultiLvlLbl val="0"/>
      </c:catAx>
      <c:valAx>
        <c:axId val="702642216"/>
        <c:scaling>
          <c:orientation val="minMax"/>
        </c:scaling>
        <c:delete val="0"/>
        <c:axPos val="l"/>
        <c:numFmt formatCode="0_);\(0\)" sourceLinked="0"/>
        <c:majorTickMark val="in"/>
        <c:minorTickMark val="none"/>
        <c:tickLblPos val="nextTo"/>
        <c:txPr>
          <a:bodyPr rot="0" vert="horz"/>
          <a:lstStyle/>
          <a:p>
            <a:pPr>
              <a:defRPr sz="1100" b="1" i="0" u="none" strike="noStrike" baseline="0">
                <a:solidFill>
                  <a:srgbClr val="000000"/>
                </a:solidFill>
                <a:latin typeface="宋体"/>
                <a:ea typeface="宋体"/>
                <a:cs typeface="宋体"/>
              </a:defRPr>
            </a:pPr>
            <a:endParaRPr lang="zh-CN"/>
          </a:p>
        </c:txPr>
        <c:crossAx val="702641824"/>
        <c:crosses val="autoZero"/>
        <c:crossBetween val="between"/>
      </c:valAx>
      <c:catAx>
        <c:axId val="702642608"/>
        <c:scaling>
          <c:orientation val="minMax"/>
        </c:scaling>
        <c:delete val="1"/>
        <c:axPos val="b"/>
        <c:numFmt formatCode="General" sourceLinked="1"/>
        <c:majorTickMark val="out"/>
        <c:minorTickMark val="none"/>
        <c:tickLblPos val="nextTo"/>
        <c:crossAx val="702643000"/>
        <c:crosses val="autoZero"/>
        <c:auto val="1"/>
        <c:lblAlgn val="ctr"/>
        <c:lblOffset val="100"/>
        <c:noMultiLvlLbl val="0"/>
      </c:catAx>
      <c:valAx>
        <c:axId val="702643000"/>
        <c:scaling>
          <c:orientation val="minMax"/>
          <c:max val="0.35"/>
        </c:scaling>
        <c:delete val="0"/>
        <c:axPos val="r"/>
        <c:numFmt formatCode="0%" sourceLinked="0"/>
        <c:majorTickMark val="in"/>
        <c:minorTickMark val="none"/>
        <c:tickLblPos val="nextTo"/>
        <c:txPr>
          <a:bodyPr rot="0" vert="horz"/>
          <a:lstStyle/>
          <a:p>
            <a:pPr>
              <a:defRPr sz="1000" b="1" i="0" u="none" strike="noStrike" baseline="0">
                <a:solidFill>
                  <a:srgbClr val="000000"/>
                </a:solidFill>
                <a:latin typeface="宋体"/>
                <a:ea typeface="宋体"/>
                <a:cs typeface="宋体"/>
              </a:defRPr>
            </a:pPr>
            <a:endParaRPr lang="zh-CN"/>
          </a:p>
        </c:txPr>
        <c:crossAx val="702642608"/>
        <c:crosses val="max"/>
        <c:crossBetween val="between"/>
        <c:majorUnit val="5.000000000000001E-2"/>
      </c:valAx>
    </c:plotArea>
    <c:legend>
      <c:legendPos val="b"/>
      <c:layout>
        <c:manualLayout>
          <c:xMode val="edge"/>
          <c:yMode val="edge"/>
          <c:x val="0.25055555555555559"/>
          <c:y val="0.9023939195100612"/>
          <c:w val="0.49333333333333335"/>
          <c:h val="8.3717191601049845E-2"/>
        </c:manualLayout>
      </c:layout>
      <c:overlay val="0"/>
      <c:txPr>
        <a:bodyPr/>
        <a:lstStyle/>
        <a:p>
          <a:pPr>
            <a:defRPr sz="920" b="0" i="0" u="none" strike="noStrike" baseline="0">
              <a:solidFill>
                <a:srgbClr val="000000"/>
              </a:solidFill>
              <a:latin typeface="宋体"/>
              <a:ea typeface="宋体"/>
              <a:cs typeface="宋体"/>
            </a:defRPr>
          </a:pPr>
          <a:endParaRPr lang="zh-CN"/>
        </a:p>
      </c:txPr>
    </c:legend>
    <c:plotVisOnly val="1"/>
    <c:dispBlanksAs val="gap"/>
    <c:showDLblsOverMax val="0"/>
  </c:chart>
  <c:txPr>
    <a:bodyPr/>
    <a:lstStyle/>
    <a:p>
      <a:pPr>
        <a:defRPr sz="1000" b="0" i="0" u="none" strike="noStrike" baseline="0">
          <a:solidFill>
            <a:srgbClr val="000000"/>
          </a:solidFill>
          <a:latin typeface="宋体"/>
          <a:ea typeface="宋体"/>
          <a:cs typeface="宋体"/>
        </a:defRPr>
      </a:pPr>
      <a:endParaRPr lang="zh-CN"/>
    </a:p>
  </c:txPr>
  <c:externalData r:id="rId1">
    <c:autoUpdate val="0"/>
  </c:externalData>
  <c:userShapes r:id="rId2"/>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9.2615923009623791E-2"/>
          <c:y val="0.10053222513852435"/>
          <c:w val="0.82347900262467189"/>
          <c:h val="0.71460885097696125"/>
        </c:manualLayout>
      </c:layout>
      <c:barChart>
        <c:barDir val="col"/>
        <c:grouping val="clustered"/>
        <c:varyColors val="0"/>
        <c:ser>
          <c:idx val="0"/>
          <c:order val="0"/>
          <c:tx>
            <c:strRef>
              <c:f>财政!$R$2</c:f>
              <c:strCache>
                <c:ptCount val="1"/>
                <c:pt idx="0">
                  <c:v>绝对值（亿元）</c:v>
                </c:pt>
              </c:strCache>
            </c:strRef>
          </c:tx>
          <c:spPr>
            <a:solidFill>
              <a:schemeClr val="accent1"/>
            </a:solidFill>
          </c:spPr>
          <c:invertIfNegative val="0"/>
          <c:dLbls>
            <c:spPr>
              <a:noFill/>
              <a:ln>
                <a:noFill/>
              </a:ln>
              <a:effectLst/>
            </c:spPr>
            <c:txPr>
              <a:bodyPr/>
              <a:lstStyle/>
              <a:p>
                <a:pPr>
                  <a:defRPr sz="1200" b="1" i="0" u="none" strike="noStrike" baseline="0">
                    <a:solidFill>
                      <a:srgbClr val="000000"/>
                    </a:solidFill>
                    <a:latin typeface="宋体"/>
                    <a:ea typeface="宋体"/>
                    <a:cs typeface="宋体"/>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财政!$AC$1:$AG$1</c:f>
              <c:strCache>
                <c:ptCount val="5"/>
                <c:pt idx="0">
                  <c:v>2021年</c:v>
                </c:pt>
                <c:pt idx="1">
                  <c:v>2022年</c:v>
                </c:pt>
                <c:pt idx="2">
                  <c:v>2023年</c:v>
                </c:pt>
                <c:pt idx="3">
                  <c:v>2024年</c:v>
                </c:pt>
                <c:pt idx="4">
                  <c:v>2025年</c:v>
                </c:pt>
              </c:strCache>
            </c:strRef>
          </c:cat>
          <c:val>
            <c:numRef>
              <c:f>财政!$AC$2:$AG$2</c:f>
              <c:numCache>
                <c:formatCode>0.0_);[Red]\(0.0\)</c:formatCode>
                <c:ptCount val="5"/>
                <c:pt idx="0">
                  <c:v>127.5</c:v>
                </c:pt>
                <c:pt idx="1">
                  <c:v>132.9</c:v>
                </c:pt>
                <c:pt idx="2">
                  <c:v>144.30000000000001</c:v>
                </c:pt>
                <c:pt idx="3">
                  <c:v>150.1</c:v>
                </c:pt>
                <c:pt idx="4">
                  <c:v>159.5</c:v>
                </c:pt>
              </c:numCache>
            </c:numRef>
          </c:val>
        </c:ser>
        <c:dLbls>
          <c:showLegendKey val="0"/>
          <c:showVal val="0"/>
          <c:showCatName val="0"/>
          <c:showSerName val="0"/>
          <c:showPercent val="0"/>
          <c:showBubbleSize val="0"/>
        </c:dLbls>
        <c:gapWidth val="75"/>
        <c:axId val="702643784"/>
        <c:axId val="702644176"/>
      </c:barChart>
      <c:lineChart>
        <c:grouping val="standard"/>
        <c:varyColors val="0"/>
        <c:ser>
          <c:idx val="1"/>
          <c:order val="1"/>
          <c:tx>
            <c:strRef>
              <c:f>财政!$R$3</c:f>
              <c:strCache>
                <c:ptCount val="1"/>
                <c:pt idx="0">
                  <c:v>增幅</c:v>
                </c:pt>
              </c:strCache>
            </c:strRef>
          </c:tx>
          <c:marker>
            <c:symbol val="square"/>
            <c:size val="7"/>
          </c:marker>
          <c:dLbls>
            <c:dLbl>
              <c:idx val="3"/>
              <c:layout>
                <c:manualLayout>
                  <c:x val="-5.6411339387174304E-2"/>
                  <c:y val="-5.5836307658774488E-2"/>
                </c:manualLayout>
              </c:layout>
              <c:dLblPos val="r"/>
              <c:showLegendKey val="0"/>
              <c:showVal val="1"/>
              <c:showCatName val="0"/>
              <c:showSerName val="0"/>
              <c:showPercent val="0"/>
              <c:showBubbleSize val="0"/>
              <c:extLst>
                <c:ext xmlns:c15="http://schemas.microsoft.com/office/drawing/2012/chart" uri="{CE6537A1-D6FC-4f65-9D91-7224C49458BB}"/>
              </c:extLst>
            </c:dLbl>
            <c:dLbl>
              <c:idx val="4"/>
              <c:layout>
                <c:manualLayout>
                  <c:x val="-3.5977313180680003E-2"/>
                  <c:y val="-6.9677138108601475E-2"/>
                </c:manualLayout>
              </c:layout>
              <c:dLblPos val="r"/>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a:lstStyle/>
              <a:p>
                <a:pPr>
                  <a:defRPr sz="1000" b="1" i="0" u="none" strike="noStrike" baseline="0">
                    <a:solidFill>
                      <a:srgbClr val="000000"/>
                    </a:solidFill>
                    <a:latin typeface="宋体"/>
                    <a:ea typeface="宋体"/>
                    <a:cs typeface="宋体"/>
                  </a:defRPr>
                </a:pPr>
                <a:endParaRPr lang="zh-CN"/>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财政!$AA$1:$AE$1</c:f>
              <c:strCache>
                <c:ptCount val="5"/>
                <c:pt idx="0">
                  <c:v>2019年</c:v>
                </c:pt>
                <c:pt idx="1">
                  <c:v>2020年</c:v>
                </c:pt>
                <c:pt idx="2">
                  <c:v>2021年</c:v>
                </c:pt>
                <c:pt idx="3">
                  <c:v>2022年</c:v>
                </c:pt>
                <c:pt idx="4">
                  <c:v>2023年</c:v>
                </c:pt>
              </c:strCache>
            </c:strRef>
          </c:cat>
          <c:val>
            <c:numRef>
              <c:f>财政!$AC$3:$AG$3</c:f>
              <c:numCache>
                <c:formatCode>0.0%</c:formatCode>
                <c:ptCount val="5"/>
                <c:pt idx="0">
                  <c:v>0.20300000000000001</c:v>
                </c:pt>
                <c:pt idx="1">
                  <c:v>4.2000000000000003E-2</c:v>
                </c:pt>
                <c:pt idx="2">
                  <c:v>8.5999999999999993E-2</c:v>
                </c:pt>
                <c:pt idx="3">
                  <c:v>0.04</c:v>
                </c:pt>
                <c:pt idx="4">
                  <c:v>6.3E-2</c:v>
                </c:pt>
              </c:numCache>
            </c:numRef>
          </c:val>
          <c:smooth val="0"/>
        </c:ser>
        <c:dLbls>
          <c:showLegendKey val="0"/>
          <c:showVal val="0"/>
          <c:showCatName val="0"/>
          <c:showSerName val="0"/>
          <c:showPercent val="0"/>
          <c:showBubbleSize val="0"/>
        </c:dLbls>
        <c:marker val="1"/>
        <c:smooth val="0"/>
        <c:axId val="702052240"/>
        <c:axId val="702052632"/>
      </c:lineChart>
      <c:catAx>
        <c:axId val="702643784"/>
        <c:scaling>
          <c:orientation val="minMax"/>
        </c:scaling>
        <c:delete val="0"/>
        <c:axPos val="b"/>
        <c:numFmt formatCode="General" sourceLinked="1"/>
        <c:majorTickMark val="none"/>
        <c:minorTickMark val="none"/>
        <c:tickLblPos val="nextTo"/>
        <c:txPr>
          <a:bodyPr rot="0" vert="horz"/>
          <a:lstStyle/>
          <a:p>
            <a:pPr>
              <a:defRPr sz="1000" b="0" i="0" u="none" strike="noStrike" baseline="0">
                <a:solidFill>
                  <a:srgbClr val="000000"/>
                </a:solidFill>
                <a:latin typeface="宋体"/>
                <a:ea typeface="宋体"/>
                <a:cs typeface="宋体"/>
              </a:defRPr>
            </a:pPr>
            <a:endParaRPr lang="zh-CN"/>
          </a:p>
        </c:txPr>
        <c:crossAx val="702644176"/>
        <c:crosses val="autoZero"/>
        <c:auto val="1"/>
        <c:lblAlgn val="ctr"/>
        <c:lblOffset val="100"/>
        <c:tickMarkSkip val="1"/>
        <c:noMultiLvlLbl val="0"/>
      </c:catAx>
      <c:valAx>
        <c:axId val="702644176"/>
        <c:scaling>
          <c:orientation val="minMax"/>
        </c:scaling>
        <c:delete val="0"/>
        <c:axPos val="l"/>
        <c:numFmt formatCode="0_);\(0\)" sourceLinked="0"/>
        <c:majorTickMark val="in"/>
        <c:minorTickMark val="none"/>
        <c:tickLblPos val="nextTo"/>
        <c:txPr>
          <a:bodyPr rot="0" vert="horz"/>
          <a:lstStyle/>
          <a:p>
            <a:pPr>
              <a:defRPr sz="1100" b="1" i="0" u="none" strike="noStrike" baseline="0">
                <a:solidFill>
                  <a:srgbClr val="000000"/>
                </a:solidFill>
                <a:latin typeface="宋体"/>
                <a:ea typeface="宋体"/>
                <a:cs typeface="宋体"/>
              </a:defRPr>
            </a:pPr>
            <a:endParaRPr lang="zh-CN"/>
          </a:p>
        </c:txPr>
        <c:crossAx val="702643784"/>
        <c:crosses val="autoZero"/>
        <c:crossBetween val="between"/>
      </c:valAx>
      <c:catAx>
        <c:axId val="702052240"/>
        <c:scaling>
          <c:orientation val="minMax"/>
        </c:scaling>
        <c:delete val="1"/>
        <c:axPos val="b"/>
        <c:numFmt formatCode="General" sourceLinked="1"/>
        <c:majorTickMark val="out"/>
        <c:minorTickMark val="none"/>
        <c:tickLblPos val="nextTo"/>
        <c:crossAx val="702052632"/>
        <c:crosses val="autoZero"/>
        <c:auto val="1"/>
        <c:lblAlgn val="ctr"/>
        <c:lblOffset val="100"/>
        <c:noMultiLvlLbl val="0"/>
      </c:catAx>
      <c:valAx>
        <c:axId val="702052632"/>
        <c:scaling>
          <c:orientation val="minMax"/>
          <c:max val="0.35"/>
        </c:scaling>
        <c:delete val="0"/>
        <c:axPos val="r"/>
        <c:numFmt formatCode="0%" sourceLinked="0"/>
        <c:majorTickMark val="in"/>
        <c:minorTickMark val="none"/>
        <c:tickLblPos val="nextTo"/>
        <c:txPr>
          <a:bodyPr rot="0" vert="horz"/>
          <a:lstStyle/>
          <a:p>
            <a:pPr>
              <a:defRPr sz="1000" b="1" i="0" u="none" strike="noStrike" baseline="0">
                <a:solidFill>
                  <a:srgbClr val="000000"/>
                </a:solidFill>
                <a:latin typeface="宋体"/>
                <a:ea typeface="宋体"/>
                <a:cs typeface="宋体"/>
              </a:defRPr>
            </a:pPr>
            <a:endParaRPr lang="zh-CN"/>
          </a:p>
        </c:txPr>
        <c:crossAx val="702052240"/>
        <c:crosses val="max"/>
        <c:crossBetween val="between"/>
        <c:majorUnit val="5.000000000000001E-2"/>
      </c:valAx>
    </c:plotArea>
    <c:legend>
      <c:legendPos val="b"/>
      <c:layout>
        <c:manualLayout>
          <c:xMode val="edge"/>
          <c:yMode val="edge"/>
          <c:x val="0.25888898945103128"/>
          <c:y val="0.90239395333315298"/>
          <c:w val="0.49333333333333335"/>
          <c:h val="8.3717473460147351E-2"/>
        </c:manualLayout>
      </c:layout>
      <c:overlay val="0"/>
      <c:txPr>
        <a:bodyPr/>
        <a:lstStyle/>
        <a:p>
          <a:pPr>
            <a:defRPr sz="920" b="0" i="0" u="none" strike="noStrike" baseline="0">
              <a:solidFill>
                <a:srgbClr val="000000"/>
              </a:solidFill>
              <a:latin typeface="宋体"/>
              <a:ea typeface="宋体"/>
              <a:cs typeface="宋体"/>
            </a:defRPr>
          </a:pPr>
          <a:endParaRPr lang="zh-CN"/>
        </a:p>
      </c:txPr>
    </c:legend>
    <c:plotVisOnly val="1"/>
    <c:dispBlanksAs val="gap"/>
    <c:showDLblsOverMax val="0"/>
  </c:chart>
  <c:txPr>
    <a:bodyPr/>
    <a:lstStyle/>
    <a:p>
      <a:pPr>
        <a:defRPr sz="1000" b="0" i="0" u="none" strike="noStrike" baseline="0">
          <a:solidFill>
            <a:srgbClr val="000000"/>
          </a:solidFill>
          <a:latin typeface="宋体"/>
          <a:ea typeface="宋体"/>
          <a:cs typeface="宋体"/>
        </a:defRPr>
      </a:pPr>
      <a:endParaRPr lang="zh-CN"/>
    </a:p>
  </c:txPr>
  <c:externalData r:id="rId1">
    <c:autoUpdate val="0"/>
  </c:externalData>
  <c:userShapes r:id="rId2"/>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2081014873140858"/>
          <c:y val="9.5902595508894725E-2"/>
          <c:w val="0.79250699912510936"/>
          <c:h val="0.71460885097696125"/>
        </c:manualLayout>
      </c:layout>
      <c:barChart>
        <c:barDir val="col"/>
        <c:grouping val="clustered"/>
        <c:varyColors val="0"/>
        <c:ser>
          <c:idx val="0"/>
          <c:order val="0"/>
          <c:tx>
            <c:strRef>
              <c:f>金融!$A$2</c:f>
              <c:strCache>
                <c:ptCount val="1"/>
                <c:pt idx="0">
                  <c:v>绝对值（亿元）</c:v>
                </c:pt>
              </c:strCache>
            </c:strRef>
          </c:tx>
          <c:spPr>
            <a:solidFill>
              <a:schemeClr val="accent1"/>
            </a:solidFill>
          </c:spPr>
          <c:invertIfNegative val="0"/>
          <c:dLbls>
            <c:dLbl>
              <c:idx val="3"/>
              <c:layout>
                <c:manualLayout>
                  <c:x val="0"/>
                  <c:y val="2.3148148148148147E-2"/>
                </c:manualLayout>
              </c:layout>
              <c:dLblPos val="outEnd"/>
              <c:showLegendKey val="0"/>
              <c:showVal val="1"/>
              <c:showCatName val="0"/>
              <c:showSerName val="0"/>
              <c:showPercent val="0"/>
              <c:showBubbleSize val="0"/>
              <c:extLst>
                <c:ext xmlns:c15="http://schemas.microsoft.com/office/drawing/2012/chart" uri="{CE6537A1-D6FC-4f65-9D91-7224C49458BB}"/>
              </c:extLst>
            </c:dLbl>
            <c:dLbl>
              <c:idx val="4"/>
              <c:layout>
                <c:manualLayout>
                  <c:x val="0"/>
                  <c:y val="9.2592592592592587E-3"/>
                </c:manualLayout>
              </c:layout>
              <c:dLblPos val="outEnd"/>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a:lstStyle/>
              <a:p>
                <a:pPr>
                  <a:defRPr sz="1200" b="1" i="0" u="none" strike="noStrike" baseline="0">
                    <a:solidFill>
                      <a:srgbClr val="000000"/>
                    </a:solidFill>
                    <a:latin typeface="宋体"/>
                    <a:ea typeface="宋体"/>
                    <a:cs typeface="宋体"/>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金融!$L$1:$P$1</c:f>
              <c:strCache>
                <c:ptCount val="5"/>
                <c:pt idx="0">
                  <c:v>2021年</c:v>
                </c:pt>
                <c:pt idx="1">
                  <c:v>2022年</c:v>
                </c:pt>
                <c:pt idx="2">
                  <c:v>2023年</c:v>
                </c:pt>
                <c:pt idx="3">
                  <c:v>2024年</c:v>
                </c:pt>
                <c:pt idx="4">
                  <c:v>2025年</c:v>
                </c:pt>
              </c:strCache>
            </c:strRef>
          </c:cat>
          <c:val>
            <c:numRef>
              <c:f>金融!$L$2:$P$2</c:f>
              <c:numCache>
                <c:formatCode>0.0_ </c:formatCode>
                <c:ptCount val="5"/>
                <c:pt idx="0">
                  <c:v>4075.3</c:v>
                </c:pt>
                <c:pt idx="1">
                  <c:v>4575.3</c:v>
                </c:pt>
                <c:pt idx="2">
                  <c:v>5212.6899999999996</c:v>
                </c:pt>
                <c:pt idx="3">
                  <c:v>5469.6</c:v>
                </c:pt>
                <c:pt idx="4" formatCode="0.00_ ">
                  <c:v>6047.05</c:v>
                </c:pt>
              </c:numCache>
            </c:numRef>
          </c:val>
        </c:ser>
        <c:dLbls>
          <c:showLegendKey val="0"/>
          <c:showVal val="0"/>
          <c:showCatName val="0"/>
          <c:showSerName val="0"/>
          <c:showPercent val="0"/>
          <c:showBubbleSize val="0"/>
        </c:dLbls>
        <c:gapWidth val="75"/>
        <c:axId val="702053416"/>
        <c:axId val="702053808"/>
      </c:barChart>
      <c:lineChart>
        <c:grouping val="standard"/>
        <c:varyColors val="0"/>
        <c:ser>
          <c:idx val="1"/>
          <c:order val="1"/>
          <c:tx>
            <c:strRef>
              <c:f>金融!$A$3</c:f>
              <c:strCache>
                <c:ptCount val="1"/>
                <c:pt idx="0">
                  <c:v>增幅</c:v>
                </c:pt>
              </c:strCache>
            </c:strRef>
          </c:tx>
          <c:marker>
            <c:symbol val="square"/>
            <c:size val="7"/>
          </c:marker>
          <c:dLbls>
            <c:dLbl>
              <c:idx val="0"/>
              <c:layout>
                <c:manualLayout>
                  <c:x val="-6.5416666666666665E-2"/>
                  <c:y val="-6.4340186643336253E-2"/>
                </c:manualLayout>
              </c:layout>
              <c:dLblPos val="r"/>
              <c:showLegendKey val="0"/>
              <c:showVal val="1"/>
              <c:showCatName val="0"/>
              <c:showSerName val="0"/>
              <c:showPercent val="0"/>
              <c:showBubbleSize val="0"/>
              <c:extLst>
                <c:ext xmlns:c15="http://schemas.microsoft.com/office/drawing/2012/chart" uri="{CE6537A1-D6FC-4f65-9D91-7224C49458BB}"/>
              </c:extLst>
            </c:dLbl>
            <c:dLbl>
              <c:idx val="1"/>
              <c:layout>
                <c:manualLayout>
                  <c:x val="-6.2638888888888883E-2"/>
                  <c:y val="6.9919072615922964E-2"/>
                </c:manualLayout>
              </c:layout>
              <c:dLblPos val="r"/>
              <c:showLegendKey val="0"/>
              <c:showVal val="1"/>
              <c:showCatName val="0"/>
              <c:showSerName val="0"/>
              <c:showPercent val="0"/>
              <c:showBubbleSize val="0"/>
              <c:extLst>
                <c:ext xmlns:c15="http://schemas.microsoft.com/office/drawing/2012/chart" uri="{CE6537A1-D6FC-4f65-9D91-7224C49458BB}"/>
              </c:extLst>
            </c:dLbl>
            <c:dLbl>
              <c:idx val="2"/>
              <c:layout>
                <c:manualLayout>
                  <c:x val="-5.4305555555555558E-2"/>
                  <c:y val="5.1400189559638376E-2"/>
                </c:manualLayout>
              </c:layout>
              <c:dLblPos val="r"/>
              <c:showLegendKey val="0"/>
              <c:showVal val="1"/>
              <c:showCatName val="0"/>
              <c:showSerName val="0"/>
              <c:showPercent val="0"/>
              <c:showBubbleSize val="0"/>
              <c:extLst>
                <c:ext xmlns:c15="http://schemas.microsoft.com/office/drawing/2012/chart" uri="{CE6537A1-D6FC-4f65-9D91-7224C49458BB}"/>
              </c:extLst>
            </c:dLbl>
            <c:dLbl>
              <c:idx val="3"/>
              <c:layout>
                <c:manualLayout>
                  <c:x val="-6.5416666666666665E-2"/>
                  <c:y val="5.6030183727034166E-2"/>
                </c:manualLayout>
              </c:layout>
              <c:dLblPos val="r"/>
              <c:showLegendKey val="0"/>
              <c:showVal val="1"/>
              <c:showCatName val="0"/>
              <c:showSerName val="0"/>
              <c:showPercent val="0"/>
              <c:showBubbleSize val="0"/>
              <c:extLst>
                <c:ext xmlns:c15="http://schemas.microsoft.com/office/drawing/2012/chart" uri="{CE6537A1-D6FC-4f65-9D91-7224C49458BB}"/>
              </c:extLst>
            </c:dLbl>
            <c:dLbl>
              <c:idx val="4"/>
              <c:layout>
                <c:manualLayout>
                  <c:x val="-5.4305555555555558E-2"/>
                  <c:y val="-7.3599445902595512E-2"/>
                </c:manualLayout>
              </c:layout>
              <c:dLblPos val="r"/>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a:lstStyle/>
              <a:p>
                <a:pPr>
                  <a:defRPr sz="1000" b="1" i="0" u="none" strike="noStrike" baseline="0">
                    <a:solidFill>
                      <a:srgbClr val="000000"/>
                    </a:solidFill>
                    <a:latin typeface="宋体"/>
                    <a:ea typeface="宋体"/>
                    <a:cs typeface="宋体"/>
                  </a:defRPr>
                </a:pPr>
                <a:endParaRPr lang="zh-CN"/>
              </a:p>
            </c:txPr>
            <c:dLblPos val="b"/>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金融!$J$1:$N$1</c:f>
              <c:strCache>
                <c:ptCount val="5"/>
                <c:pt idx="0">
                  <c:v>2019年</c:v>
                </c:pt>
                <c:pt idx="1">
                  <c:v>2020年</c:v>
                </c:pt>
                <c:pt idx="2">
                  <c:v>2021年</c:v>
                </c:pt>
                <c:pt idx="3">
                  <c:v>2022年</c:v>
                </c:pt>
                <c:pt idx="4">
                  <c:v>2023年</c:v>
                </c:pt>
              </c:strCache>
            </c:strRef>
          </c:cat>
          <c:val>
            <c:numRef>
              <c:f>金融!$L$3:$P$3</c:f>
              <c:numCache>
                <c:formatCode>0.0%</c:formatCode>
                <c:ptCount val="5"/>
                <c:pt idx="0">
                  <c:v>7.8E-2</c:v>
                </c:pt>
                <c:pt idx="1">
                  <c:v>0.123</c:v>
                </c:pt>
                <c:pt idx="2">
                  <c:v>0.13930000000000001</c:v>
                </c:pt>
                <c:pt idx="3">
                  <c:v>4.9000000000000002E-2</c:v>
                </c:pt>
                <c:pt idx="4">
                  <c:v>0.106</c:v>
                </c:pt>
              </c:numCache>
            </c:numRef>
          </c:val>
          <c:smooth val="0"/>
        </c:ser>
        <c:dLbls>
          <c:showLegendKey val="0"/>
          <c:showVal val="0"/>
          <c:showCatName val="0"/>
          <c:showSerName val="0"/>
          <c:showPercent val="0"/>
          <c:showBubbleSize val="0"/>
        </c:dLbls>
        <c:marker val="1"/>
        <c:smooth val="0"/>
        <c:axId val="702054200"/>
        <c:axId val="702054592"/>
      </c:lineChart>
      <c:catAx>
        <c:axId val="702053416"/>
        <c:scaling>
          <c:orientation val="minMax"/>
        </c:scaling>
        <c:delete val="0"/>
        <c:axPos val="b"/>
        <c:numFmt formatCode="General" sourceLinked="1"/>
        <c:majorTickMark val="none"/>
        <c:minorTickMark val="none"/>
        <c:tickLblPos val="nextTo"/>
        <c:txPr>
          <a:bodyPr rot="0" vert="horz"/>
          <a:lstStyle/>
          <a:p>
            <a:pPr>
              <a:defRPr sz="1000" b="0" i="0" u="none" strike="noStrike" baseline="0">
                <a:solidFill>
                  <a:srgbClr val="000000"/>
                </a:solidFill>
                <a:latin typeface="宋体"/>
                <a:ea typeface="宋体"/>
                <a:cs typeface="宋体"/>
              </a:defRPr>
            </a:pPr>
            <a:endParaRPr lang="zh-CN"/>
          </a:p>
        </c:txPr>
        <c:crossAx val="702053808"/>
        <c:crosses val="autoZero"/>
        <c:auto val="1"/>
        <c:lblAlgn val="ctr"/>
        <c:lblOffset val="100"/>
        <c:tickMarkSkip val="1"/>
        <c:noMultiLvlLbl val="0"/>
      </c:catAx>
      <c:valAx>
        <c:axId val="702053808"/>
        <c:scaling>
          <c:orientation val="minMax"/>
          <c:min val="0"/>
        </c:scaling>
        <c:delete val="0"/>
        <c:axPos val="l"/>
        <c:numFmt formatCode="0_);\(0\)" sourceLinked="0"/>
        <c:majorTickMark val="in"/>
        <c:minorTickMark val="none"/>
        <c:tickLblPos val="nextTo"/>
        <c:txPr>
          <a:bodyPr rot="0" vert="horz"/>
          <a:lstStyle/>
          <a:p>
            <a:pPr>
              <a:defRPr sz="1100" b="1" i="0" u="none" strike="noStrike" baseline="0">
                <a:solidFill>
                  <a:srgbClr val="000000"/>
                </a:solidFill>
                <a:latin typeface="宋体"/>
                <a:ea typeface="宋体"/>
                <a:cs typeface="宋体"/>
              </a:defRPr>
            </a:pPr>
            <a:endParaRPr lang="zh-CN"/>
          </a:p>
        </c:txPr>
        <c:crossAx val="702053416"/>
        <c:crosses val="autoZero"/>
        <c:crossBetween val="between"/>
      </c:valAx>
      <c:catAx>
        <c:axId val="702054200"/>
        <c:scaling>
          <c:orientation val="minMax"/>
        </c:scaling>
        <c:delete val="1"/>
        <c:axPos val="b"/>
        <c:numFmt formatCode="General" sourceLinked="1"/>
        <c:majorTickMark val="out"/>
        <c:minorTickMark val="none"/>
        <c:tickLblPos val="nextTo"/>
        <c:crossAx val="702054592"/>
        <c:crosses val="autoZero"/>
        <c:auto val="1"/>
        <c:lblAlgn val="ctr"/>
        <c:lblOffset val="100"/>
        <c:noMultiLvlLbl val="0"/>
      </c:catAx>
      <c:valAx>
        <c:axId val="702054592"/>
        <c:scaling>
          <c:orientation val="minMax"/>
          <c:max val="0.3"/>
        </c:scaling>
        <c:delete val="0"/>
        <c:axPos val="r"/>
        <c:numFmt formatCode="0%" sourceLinked="0"/>
        <c:majorTickMark val="in"/>
        <c:minorTickMark val="none"/>
        <c:tickLblPos val="nextTo"/>
        <c:txPr>
          <a:bodyPr rot="0" vert="horz"/>
          <a:lstStyle/>
          <a:p>
            <a:pPr>
              <a:defRPr sz="1000" b="1" i="0" u="none" strike="noStrike" baseline="0">
                <a:solidFill>
                  <a:srgbClr val="000000"/>
                </a:solidFill>
                <a:latin typeface="宋体"/>
                <a:ea typeface="宋体"/>
                <a:cs typeface="宋体"/>
              </a:defRPr>
            </a:pPr>
            <a:endParaRPr lang="zh-CN"/>
          </a:p>
        </c:txPr>
        <c:crossAx val="702054200"/>
        <c:crosses val="max"/>
        <c:crossBetween val="between"/>
        <c:majorUnit val="0.05"/>
      </c:valAx>
    </c:plotArea>
    <c:legend>
      <c:legendPos val="b"/>
      <c:layout>
        <c:manualLayout>
          <c:xMode val="edge"/>
          <c:yMode val="edge"/>
          <c:x val="0.25333333333333335"/>
          <c:y val="0.89313466025080201"/>
          <c:w val="0.49333333333333335"/>
          <c:h val="8.3717191601049845E-2"/>
        </c:manualLayout>
      </c:layout>
      <c:overlay val="0"/>
      <c:txPr>
        <a:bodyPr/>
        <a:lstStyle/>
        <a:p>
          <a:pPr>
            <a:defRPr sz="920" b="0" i="0" u="none" strike="noStrike" baseline="0">
              <a:solidFill>
                <a:srgbClr val="000000"/>
              </a:solidFill>
              <a:latin typeface="宋体"/>
              <a:ea typeface="宋体"/>
              <a:cs typeface="宋体"/>
            </a:defRPr>
          </a:pPr>
          <a:endParaRPr lang="zh-CN"/>
        </a:p>
      </c:txPr>
    </c:legend>
    <c:plotVisOnly val="1"/>
    <c:dispBlanksAs val="gap"/>
    <c:showDLblsOverMax val="0"/>
  </c:chart>
  <c:txPr>
    <a:bodyPr/>
    <a:lstStyle/>
    <a:p>
      <a:pPr>
        <a:defRPr sz="1000" b="0" i="0" u="none" strike="noStrike" baseline="0">
          <a:solidFill>
            <a:srgbClr val="000000"/>
          </a:solidFill>
          <a:latin typeface="宋体"/>
          <a:ea typeface="宋体"/>
          <a:cs typeface="宋体"/>
        </a:defRPr>
      </a:pPr>
      <a:endParaRPr lang="zh-CN"/>
    </a:p>
  </c:txPr>
  <c:externalData r:id="rId1">
    <c:autoUpdate val="0"/>
  </c:externalData>
  <c:userShapes r:id="rId2"/>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1525459317585302"/>
          <c:y val="9.5902595508894725E-2"/>
          <c:w val="0.79250699912510936"/>
          <c:h val="0.71460885097696125"/>
        </c:manualLayout>
      </c:layout>
      <c:barChart>
        <c:barDir val="col"/>
        <c:grouping val="clustered"/>
        <c:varyColors val="0"/>
        <c:ser>
          <c:idx val="0"/>
          <c:order val="0"/>
          <c:tx>
            <c:strRef>
              <c:f>金融!$R$2</c:f>
              <c:strCache>
                <c:ptCount val="1"/>
                <c:pt idx="0">
                  <c:v>绝对值（亿元）</c:v>
                </c:pt>
              </c:strCache>
            </c:strRef>
          </c:tx>
          <c:spPr>
            <a:solidFill>
              <a:schemeClr val="accent1"/>
            </a:solidFill>
          </c:spPr>
          <c:invertIfNegative val="0"/>
          <c:dLbls>
            <c:spPr>
              <a:noFill/>
              <a:ln>
                <a:noFill/>
              </a:ln>
              <a:effectLst/>
            </c:spPr>
            <c:txPr>
              <a:bodyPr/>
              <a:lstStyle/>
              <a:p>
                <a:pPr>
                  <a:defRPr sz="1200" b="1" i="0" u="none" strike="noStrike" baseline="0">
                    <a:solidFill>
                      <a:srgbClr val="000000"/>
                    </a:solidFill>
                    <a:latin typeface="宋体"/>
                    <a:ea typeface="宋体"/>
                    <a:cs typeface="宋体"/>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金融!$AC$1:$AG$1</c:f>
              <c:strCache>
                <c:ptCount val="5"/>
                <c:pt idx="0">
                  <c:v>2021年</c:v>
                </c:pt>
                <c:pt idx="1">
                  <c:v>2022年</c:v>
                </c:pt>
                <c:pt idx="2">
                  <c:v>2023年</c:v>
                </c:pt>
                <c:pt idx="3">
                  <c:v>2024年</c:v>
                </c:pt>
                <c:pt idx="4">
                  <c:v>2025年</c:v>
                </c:pt>
              </c:strCache>
            </c:strRef>
          </c:cat>
          <c:val>
            <c:numRef>
              <c:f>金融!$AC$2:$AG$2</c:f>
              <c:numCache>
                <c:formatCode>0.0_ </c:formatCode>
                <c:ptCount val="5"/>
                <c:pt idx="0">
                  <c:v>3860.8</c:v>
                </c:pt>
                <c:pt idx="1">
                  <c:v>4496.8999999999996</c:v>
                </c:pt>
                <c:pt idx="2">
                  <c:v>5013.8900000000003</c:v>
                </c:pt>
                <c:pt idx="3">
                  <c:v>5568.3</c:v>
                </c:pt>
                <c:pt idx="4" formatCode="0.00_ ">
                  <c:v>6193.96</c:v>
                </c:pt>
              </c:numCache>
            </c:numRef>
          </c:val>
        </c:ser>
        <c:dLbls>
          <c:showLegendKey val="0"/>
          <c:showVal val="0"/>
          <c:showCatName val="0"/>
          <c:showSerName val="0"/>
          <c:showPercent val="0"/>
          <c:showBubbleSize val="0"/>
        </c:dLbls>
        <c:gapWidth val="75"/>
        <c:axId val="702055376"/>
        <c:axId val="702055768"/>
      </c:barChart>
      <c:lineChart>
        <c:grouping val="standard"/>
        <c:varyColors val="0"/>
        <c:ser>
          <c:idx val="1"/>
          <c:order val="1"/>
          <c:tx>
            <c:strRef>
              <c:f>金融!$R$3</c:f>
              <c:strCache>
                <c:ptCount val="1"/>
                <c:pt idx="0">
                  <c:v>增幅</c:v>
                </c:pt>
              </c:strCache>
            </c:strRef>
          </c:tx>
          <c:marker>
            <c:symbol val="square"/>
            <c:size val="7"/>
          </c:marker>
          <c:dLbls>
            <c:dLbl>
              <c:idx val="0"/>
              <c:layout>
                <c:manualLayout>
                  <c:x val="-6.1347331583552059E-2"/>
                  <c:y val="-7.3599445902595595E-2"/>
                </c:manualLayout>
              </c:layout>
              <c:dLblPos val="r"/>
              <c:showLegendKey val="0"/>
              <c:showVal val="1"/>
              <c:showCatName val="0"/>
              <c:showSerName val="0"/>
              <c:showPercent val="0"/>
              <c:showBubbleSize val="0"/>
              <c:extLst>
                <c:ext xmlns:c15="http://schemas.microsoft.com/office/drawing/2012/chart" uri="{CE6537A1-D6FC-4f65-9D91-7224C49458BB}"/>
              </c:extLst>
            </c:dLbl>
            <c:dLbl>
              <c:idx val="1"/>
              <c:layout>
                <c:manualLayout>
                  <c:x val="-5.301399825021872E-2"/>
                  <c:y val="-5.5081291921843106E-2"/>
                </c:manualLayout>
              </c:layout>
              <c:dLblPos val="r"/>
              <c:showLegendKey val="0"/>
              <c:showVal val="1"/>
              <c:showCatName val="0"/>
              <c:showSerName val="0"/>
              <c:showPercent val="0"/>
              <c:showBubbleSize val="0"/>
              <c:extLst>
                <c:ext xmlns:c15="http://schemas.microsoft.com/office/drawing/2012/chart" uri="{CE6537A1-D6FC-4f65-9D91-7224C49458BB}"/>
              </c:extLst>
            </c:dLbl>
            <c:dLbl>
              <c:idx val="2"/>
              <c:layout>
                <c:manualLayout>
                  <c:x val="-5.8569553805774277E-2"/>
                  <c:y val="6.5289078448527271E-2"/>
                </c:manualLayout>
              </c:layout>
              <c:dLblPos val="r"/>
              <c:showLegendKey val="0"/>
              <c:showVal val="1"/>
              <c:showCatName val="0"/>
              <c:showSerName val="0"/>
              <c:showPercent val="0"/>
              <c:showBubbleSize val="0"/>
              <c:extLst>
                <c:ext xmlns:c15="http://schemas.microsoft.com/office/drawing/2012/chart" uri="{CE6537A1-D6FC-4f65-9D91-7224C49458BB}"/>
              </c:extLst>
            </c:dLbl>
            <c:dLbl>
              <c:idx val="3"/>
              <c:layout>
                <c:manualLayout>
                  <c:x val="-5.4305555555555558E-2"/>
                  <c:y val="4.214129483814523E-2"/>
                </c:manualLayout>
              </c:layout>
              <c:dLblPos val="r"/>
              <c:showLegendKey val="0"/>
              <c:showVal val="1"/>
              <c:showCatName val="0"/>
              <c:showSerName val="0"/>
              <c:showPercent val="0"/>
              <c:showBubbleSize val="0"/>
              <c:extLst>
                <c:ext xmlns:c15="http://schemas.microsoft.com/office/drawing/2012/chart" uri="{CE6537A1-D6FC-4f65-9D91-7224C49458BB}"/>
              </c:extLst>
            </c:dLbl>
            <c:dLbl>
              <c:idx val="4"/>
              <c:layout>
                <c:manualLayout>
                  <c:x val="-5.7083552055992998E-2"/>
                  <c:y val="-4.5821668124817728E-2"/>
                </c:manualLayout>
              </c:layout>
              <c:dLblPos val="r"/>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a:lstStyle/>
              <a:p>
                <a:pPr>
                  <a:defRPr sz="1000" b="1" i="0" u="none" strike="noStrike" baseline="0">
                    <a:solidFill>
                      <a:srgbClr val="000000"/>
                    </a:solidFill>
                    <a:latin typeface="宋体"/>
                    <a:ea typeface="宋体"/>
                    <a:cs typeface="宋体"/>
                  </a:defRPr>
                </a:pPr>
                <a:endParaRPr lang="zh-CN"/>
              </a:p>
            </c:txPr>
            <c:dLblPos val="b"/>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金融!$AA$1:$AE$1</c:f>
              <c:strCache>
                <c:ptCount val="5"/>
                <c:pt idx="0">
                  <c:v>2019年</c:v>
                </c:pt>
                <c:pt idx="1">
                  <c:v>2020年</c:v>
                </c:pt>
                <c:pt idx="2">
                  <c:v>2021年</c:v>
                </c:pt>
                <c:pt idx="3">
                  <c:v>2022年</c:v>
                </c:pt>
                <c:pt idx="4">
                  <c:v>2023年</c:v>
                </c:pt>
              </c:strCache>
            </c:strRef>
          </c:cat>
          <c:val>
            <c:numRef>
              <c:f>金融!$AC$3:$AG$3</c:f>
              <c:numCache>
                <c:formatCode>0.0%</c:formatCode>
                <c:ptCount val="5"/>
                <c:pt idx="0">
                  <c:v>0.13600000000000001</c:v>
                </c:pt>
                <c:pt idx="1">
                  <c:v>0.16500000000000001</c:v>
                </c:pt>
                <c:pt idx="2">
                  <c:v>0.115</c:v>
                </c:pt>
                <c:pt idx="3">
                  <c:v>0.111</c:v>
                </c:pt>
                <c:pt idx="4">
                  <c:v>0.11199999999999999</c:v>
                </c:pt>
              </c:numCache>
            </c:numRef>
          </c:val>
          <c:smooth val="0"/>
        </c:ser>
        <c:dLbls>
          <c:showLegendKey val="0"/>
          <c:showVal val="0"/>
          <c:showCatName val="0"/>
          <c:showSerName val="0"/>
          <c:showPercent val="0"/>
          <c:showBubbleSize val="0"/>
        </c:dLbls>
        <c:marker val="1"/>
        <c:smooth val="0"/>
        <c:axId val="702056160"/>
        <c:axId val="702056552"/>
      </c:lineChart>
      <c:catAx>
        <c:axId val="702055376"/>
        <c:scaling>
          <c:orientation val="minMax"/>
        </c:scaling>
        <c:delete val="0"/>
        <c:axPos val="b"/>
        <c:numFmt formatCode="General" sourceLinked="1"/>
        <c:majorTickMark val="none"/>
        <c:minorTickMark val="none"/>
        <c:tickLblPos val="nextTo"/>
        <c:txPr>
          <a:bodyPr rot="0" vert="horz"/>
          <a:lstStyle/>
          <a:p>
            <a:pPr>
              <a:defRPr sz="1000" b="0" i="0" u="none" strike="noStrike" baseline="0">
                <a:solidFill>
                  <a:srgbClr val="000000"/>
                </a:solidFill>
                <a:latin typeface="宋体"/>
                <a:ea typeface="宋体"/>
                <a:cs typeface="宋体"/>
              </a:defRPr>
            </a:pPr>
            <a:endParaRPr lang="zh-CN"/>
          </a:p>
        </c:txPr>
        <c:crossAx val="702055768"/>
        <c:crosses val="autoZero"/>
        <c:auto val="1"/>
        <c:lblAlgn val="ctr"/>
        <c:lblOffset val="100"/>
        <c:tickMarkSkip val="1"/>
        <c:noMultiLvlLbl val="0"/>
      </c:catAx>
      <c:valAx>
        <c:axId val="702055768"/>
        <c:scaling>
          <c:orientation val="minMax"/>
          <c:min val="0"/>
        </c:scaling>
        <c:delete val="0"/>
        <c:axPos val="l"/>
        <c:numFmt formatCode="0_);\(0\)" sourceLinked="0"/>
        <c:majorTickMark val="in"/>
        <c:minorTickMark val="none"/>
        <c:tickLblPos val="nextTo"/>
        <c:txPr>
          <a:bodyPr rot="0" vert="horz"/>
          <a:lstStyle/>
          <a:p>
            <a:pPr>
              <a:defRPr sz="1100" b="1" i="0" u="none" strike="noStrike" baseline="0">
                <a:solidFill>
                  <a:srgbClr val="000000"/>
                </a:solidFill>
                <a:latin typeface="宋体"/>
                <a:ea typeface="宋体"/>
                <a:cs typeface="宋体"/>
              </a:defRPr>
            </a:pPr>
            <a:endParaRPr lang="zh-CN"/>
          </a:p>
        </c:txPr>
        <c:crossAx val="702055376"/>
        <c:crosses val="autoZero"/>
        <c:crossBetween val="between"/>
      </c:valAx>
      <c:catAx>
        <c:axId val="702056160"/>
        <c:scaling>
          <c:orientation val="minMax"/>
        </c:scaling>
        <c:delete val="1"/>
        <c:axPos val="b"/>
        <c:numFmt formatCode="General" sourceLinked="1"/>
        <c:majorTickMark val="out"/>
        <c:minorTickMark val="none"/>
        <c:tickLblPos val="nextTo"/>
        <c:crossAx val="702056552"/>
        <c:crosses val="autoZero"/>
        <c:auto val="1"/>
        <c:lblAlgn val="ctr"/>
        <c:lblOffset val="100"/>
        <c:noMultiLvlLbl val="0"/>
      </c:catAx>
      <c:valAx>
        <c:axId val="702056552"/>
        <c:scaling>
          <c:orientation val="minMax"/>
          <c:max val="0.4"/>
        </c:scaling>
        <c:delete val="0"/>
        <c:axPos val="r"/>
        <c:numFmt formatCode="0%" sourceLinked="0"/>
        <c:majorTickMark val="in"/>
        <c:minorTickMark val="none"/>
        <c:tickLblPos val="nextTo"/>
        <c:txPr>
          <a:bodyPr rot="0" vert="horz"/>
          <a:lstStyle/>
          <a:p>
            <a:pPr>
              <a:defRPr sz="1000" b="1" i="0" u="none" strike="noStrike" baseline="0">
                <a:solidFill>
                  <a:srgbClr val="000000"/>
                </a:solidFill>
                <a:latin typeface="宋体"/>
                <a:ea typeface="宋体"/>
                <a:cs typeface="宋体"/>
              </a:defRPr>
            </a:pPr>
            <a:endParaRPr lang="zh-CN"/>
          </a:p>
        </c:txPr>
        <c:crossAx val="702056160"/>
        <c:crosses val="max"/>
        <c:crossBetween val="between"/>
        <c:majorUnit val="0.1"/>
      </c:valAx>
    </c:plotArea>
    <c:legend>
      <c:legendPos val="b"/>
      <c:layout>
        <c:manualLayout>
          <c:xMode val="edge"/>
          <c:yMode val="edge"/>
          <c:x val="0.26444444444444443"/>
          <c:y val="0.90239403001454088"/>
          <c:w val="0.49333333333333335"/>
          <c:h val="8.3717340210522462E-2"/>
        </c:manualLayout>
      </c:layout>
      <c:overlay val="0"/>
      <c:txPr>
        <a:bodyPr/>
        <a:lstStyle/>
        <a:p>
          <a:pPr>
            <a:defRPr sz="920" b="0" i="0" u="none" strike="noStrike" baseline="0">
              <a:solidFill>
                <a:srgbClr val="000000"/>
              </a:solidFill>
              <a:latin typeface="宋体"/>
              <a:ea typeface="宋体"/>
              <a:cs typeface="宋体"/>
            </a:defRPr>
          </a:pPr>
          <a:endParaRPr lang="zh-CN"/>
        </a:p>
      </c:txPr>
    </c:legend>
    <c:plotVisOnly val="1"/>
    <c:dispBlanksAs val="gap"/>
    <c:showDLblsOverMax val="0"/>
  </c:chart>
  <c:txPr>
    <a:bodyPr/>
    <a:lstStyle/>
    <a:p>
      <a:pPr>
        <a:defRPr sz="1000" b="0" i="0" u="none" strike="noStrike" baseline="0">
          <a:solidFill>
            <a:srgbClr val="000000"/>
          </a:solidFill>
          <a:latin typeface="宋体"/>
          <a:ea typeface="宋体"/>
          <a:cs typeface="宋体"/>
        </a:defRPr>
      </a:pPr>
      <a:endParaRPr lang="zh-CN"/>
    </a:p>
  </c:txPr>
  <c:externalData r:id="rId1">
    <c:autoUpdate val="0"/>
  </c:externalData>
  <c:userShapes r:id="rId2"/>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学生数!$A$4</c:f>
              <c:strCache>
                <c:ptCount val="1"/>
                <c:pt idx="0">
                  <c:v>普通中学学生数</c:v>
                </c:pt>
              </c:strCache>
            </c:strRef>
          </c:tx>
          <c:invertIfNegative val="0"/>
          <c:dLbls>
            <c:spPr>
              <a:noFill/>
              <a:ln>
                <a:noFill/>
              </a:ln>
              <a:effectLst/>
            </c:spPr>
            <c:txPr>
              <a:bodyPr/>
              <a:lstStyle/>
              <a:p>
                <a:pPr>
                  <a:defRPr sz="1000" b="0" i="0" u="none" strike="noStrike" baseline="0">
                    <a:solidFill>
                      <a:srgbClr val="000000"/>
                    </a:solidFill>
                    <a:latin typeface="宋体"/>
                    <a:ea typeface="宋体"/>
                    <a:cs typeface="宋体"/>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学生数!$K$3:$O$3</c:f>
              <c:strCache>
                <c:ptCount val="5"/>
                <c:pt idx="0">
                  <c:v>2021年</c:v>
                </c:pt>
                <c:pt idx="1">
                  <c:v>2022年</c:v>
                </c:pt>
                <c:pt idx="2">
                  <c:v>2023年</c:v>
                </c:pt>
                <c:pt idx="3">
                  <c:v>2024年</c:v>
                </c:pt>
                <c:pt idx="4">
                  <c:v>2025年</c:v>
                </c:pt>
              </c:strCache>
            </c:strRef>
          </c:cat>
          <c:val>
            <c:numRef>
              <c:f>学生数!$K$4:$O$4</c:f>
              <c:numCache>
                <c:formatCode>General</c:formatCode>
                <c:ptCount val="5"/>
                <c:pt idx="0" formatCode="0.0_ ">
                  <c:v>6</c:v>
                </c:pt>
                <c:pt idx="1">
                  <c:v>6.53</c:v>
                </c:pt>
                <c:pt idx="2">
                  <c:v>6.98</c:v>
                </c:pt>
                <c:pt idx="3">
                  <c:v>7.58</c:v>
                </c:pt>
                <c:pt idx="4">
                  <c:v>8.27</c:v>
                </c:pt>
              </c:numCache>
            </c:numRef>
          </c:val>
        </c:ser>
        <c:ser>
          <c:idx val="1"/>
          <c:order val="1"/>
          <c:tx>
            <c:strRef>
              <c:f>学生数!$A$5</c:f>
              <c:strCache>
                <c:ptCount val="1"/>
                <c:pt idx="0">
                  <c:v>小学学生数</c:v>
                </c:pt>
              </c:strCache>
            </c:strRef>
          </c:tx>
          <c:invertIfNegative val="0"/>
          <c:dLbls>
            <c:dLbl>
              <c:idx val="2"/>
              <c:layout>
                <c:manualLayout>
                  <c:x val="0"/>
                  <c:y val="2.1929824561403497E-2"/>
                </c:manualLayout>
              </c:layout>
              <c:dLblPos val="outEnd"/>
              <c:showLegendKey val="0"/>
              <c:showVal val="1"/>
              <c:showCatName val="0"/>
              <c:showSerName val="0"/>
              <c:showPercent val="0"/>
              <c:showBubbleSize val="0"/>
              <c:extLst>
                <c:ext xmlns:c15="http://schemas.microsoft.com/office/drawing/2012/chart" uri="{CE6537A1-D6FC-4f65-9D91-7224C49458BB}"/>
              </c:extLst>
            </c:dLbl>
            <c:dLbl>
              <c:idx val="3"/>
              <c:layout>
                <c:manualLayout>
                  <c:x val="-8.3333333333333332E-3"/>
                  <c:y val="2.1929824561403497E-2"/>
                </c:manualLayout>
              </c:layout>
              <c:dLblPos val="outEnd"/>
              <c:showLegendKey val="0"/>
              <c:showVal val="1"/>
              <c:showCatName val="0"/>
              <c:showSerName val="0"/>
              <c:showPercent val="0"/>
              <c:showBubbleSize val="0"/>
              <c:extLst>
                <c:ext xmlns:c15="http://schemas.microsoft.com/office/drawing/2012/chart" uri="{CE6537A1-D6FC-4f65-9D91-7224C49458BB}"/>
              </c:extLst>
            </c:dLbl>
            <c:dLbl>
              <c:idx val="4"/>
              <c:layout>
                <c:manualLayout>
                  <c:x val="-2.777777777777676E-3"/>
                  <c:y val="2.1929824561403508E-2"/>
                </c:manualLayout>
              </c:layout>
              <c:dLblPos val="outEnd"/>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a:lstStyle/>
              <a:p>
                <a:pPr>
                  <a:defRPr sz="1000" b="0" i="0" u="none" strike="noStrike" baseline="0">
                    <a:solidFill>
                      <a:srgbClr val="000000"/>
                    </a:solidFill>
                    <a:latin typeface="宋体"/>
                    <a:ea typeface="宋体"/>
                    <a:cs typeface="宋体"/>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学生数!$K$3:$O$3</c:f>
              <c:strCache>
                <c:ptCount val="5"/>
                <c:pt idx="0">
                  <c:v>2021年</c:v>
                </c:pt>
                <c:pt idx="1">
                  <c:v>2022年</c:v>
                </c:pt>
                <c:pt idx="2">
                  <c:v>2023年</c:v>
                </c:pt>
                <c:pt idx="3">
                  <c:v>2024年</c:v>
                </c:pt>
                <c:pt idx="4">
                  <c:v>2025年</c:v>
                </c:pt>
              </c:strCache>
            </c:strRef>
          </c:cat>
          <c:val>
            <c:numRef>
              <c:f>学生数!$K$5:$O$5</c:f>
              <c:numCache>
                <c:formatCode>General</c:formatCode>
                <c:ptCount val="5"/>
                <c:pt idx="0">
                  <c:v>12.31</c:v>
                </c:pt>
                <c:pt idx="1">
                  <c:v>12.93</c:v>
                </c:pt>
                <c:pt idx="2">
                  <c:v>13.92</c:v>
                </c:pt>
                <c:pt idx="3">
                  <c:v>14.49</c:v>
                </c:pt>
                <c:pt idx="4">
                  <c:v>15.02</c:v>
                </c:pt>
              </c:numCache>
            </c:numRef>
          </c:val>
        </c:ser>
        <c:dLbls>
          <c:showLegendKey val="0"/>
          <c:showVal val="0"/>
          <c:showCatName val="0"/>
          <c:showSerName val="0"/>
          <c:showPercent val="0"/>
          <c:showBubbleSize val="0"/>
        </c:dLbls>
        <c:gapWidth val="75"/>
        <c:axId val="702057336"/>
        <c:axId val="702057728"/>
      </c:barChart>
      <c:catAx>
        <c:axId val="702057336"/>
        <c:scaling>
          <c:orientation val="minMax"/>
        </c:scaling>
        <c:delete val="0"/>
        <c:axPos val="b"/>
        <c:numFmt formatCode="General" sourceLinked="1"/>
        <c:majorTickMark val="none"/>
        <c:minorTickMark val="none"/>
        <c:tickLblPos val="nextTo"/>
        <c:txPr>
          <a:bodyPr rot="0" vert="horz"/>
          <a:lstStyle/>
          <a:p>
            <a:pPr>
              <a:defRPr sz="1000" b="0" i="0" u="none" strike="noStrike" baseline="0">
                <a:solidFill>
                  <a:srgbClr val="000000"/>
                </a:solidFill>
                <a:latin typeface="宋体"/>
                <a:ea typeface="宋体"/>
                <a:cs typeface="宋体"/>
              </a:defRPr>
            </a:pPr>
            <a:endParaRPr lang="zh-CN"/>
          </a:p>
        </c:txPr>
        <c:crossAx val="702057728"/>
        <c:crosses val="autoZero"/>
        <c:auto val="1"/>
        <c:lblAlgn val="ctr"/>
        <c:lblOffset val="100"/>
        <c:tickMarkSkip val="1"/>
        <c:noMultiLvlLbl val="0"/>
      </c:catAx>
      <c:valAx>
        <c:axId val="702057728"/>
        <c:scaling>
          <c:orientation val="minMax"/>
          <c:max val="16"/>
          <c:min val="0"/>
        </c:scaling>
        <c:delete val="0"/>
        <c:axPos val="l"/>
        <c:numFmt formatCode="0.0_ " sourceLinked="1"/>
        <c:majorTickMark val="none"/>
        <c:minorTickMark val="none"/>
        <c:tickLblPos val="nextTo"/>
        <c:txPr>
          <a:bodyPr rot="0" vert="horz"/>
          <a:lstStyle/>
          <a:p>
            <a:pPr>
              <a:defRPr sz="1000" b="0" i="0" u="none" strike="noStrike" baseline="0">
                <a:solidFill>
                  <a:srgbClr val="000000"/>
                </a:solidFill>
                <a:latin typeface="宋体"/>
                <a:ea typeface="宋体"/>
                <a:cs typeface="宋体"/>
              </a:defRPr>
            </a:pPr>
            <a:endParaRPr lang="zh-CN"/>
          </a:p>
        </c:txPr>
        <c:crossAx val="702057336"/>
        <c:crosses val="autoZero"/>
        <c:crossBetween val="between"/>
      </c:valAx>
    </c:plotArea>
    <c:legend>
      <c:legendPos val="b"/>
      <c:overlay val="0"/>
      <c:txPr>
        <a:bodyPr/>
        <a:lstStyle/>
        <a:p>
          <a:pPr>
            <a:defRPr sz="920" b="0" i="0" u="none" strike="noStrike" baseline="0">
              <a:solidFill>
                <a:srgbClr val="000000"/>
              </a:solidFill>
              <a:latin typeface="宋体"/>
              <a:ea typeface="宋体"/>
              <a:cs typeface="宋体"/>
            </a:defRPr>
          </a:pPr>
          <a:endParaRPr lang="zh-CN"/>
        </a:p>
      </c:txPr>
    </c:legend>
    <c:plotVisOnly val="1"/>
    <c:dispBlanksAs val="gap"/>
    <c:showDLblsOverMax val="0"/>
  </c:chart>
  <c:txPr>
    <a:bodyPr/>
    <a:lstStyle/>
    <a:p>
      <a:pPr>
        <a:defRPr sz="1000" b="0" i="0" u="none" strike="noStrike" baseline="0">
          <a:solidFill>
            <a:srgbClr val="000000"/>
          </a:solidFill>
          <a:latin typeface="宋体"/>
          <a:ea typeface="宋体"/>
          <a:cs typeface="宋体"/>
        </a:defRPr>
      </a:pPr>
      <a:endParaRPr lang="zh-CN"/>
    </a:p>
  </c:txPr>
  <c:externalData r:id="rId1">
    <c:autoUpdate val="0"/>
  </c:externalData>
  <c:userShapes r:id="rId2"/>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医生数床位数!$B$4</c:f>
              <c:strCache>
                <c:ptCount val="1"/>
                <c:pt idx="0">
                  <c:v>卫生机构床位数</c:v>
                </c:pt>
              </c:strCache>
            </c:strRef>
          </c:tx>
          <c:invertIfNegative val="0"/>
          <c:dLbls>
            <c:spPr>
              <a:noFill/>
              <a:ln>
                <a:noFill/>
              </a:ln>
              <a:effectLst/>
            </c:spPr>
            <c:txPr>
              <a:bodyPr/>
              <a:lstStyle/>
              <a:p>
                <a:pPr>
                  <a:defRPr sz="1000" b="0" i="0" u="none" strike="noStrike" baseline="0">
                    <a:solidFill>
                      <a:srgbClr val="000000"/>
                    </a:solidFill>
                    <a:latin typeface="宋体"/>
                    <a:ea typeface="宋体"/>
                    <a:cs typeface="宋体"/>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医生数床位数!$L$3:$P$3</c:f>
              <c:strCache>
                <c:ptCount val="5"/>
                <c:pt idx="0">
                  <c:v>2021年</c:v>
                </c:pt>
                <c:pt idx="1">
                  <c:v>2022年</c:v>
                </c:pt>
                <c:pt idx="2">
                  <c:v>2023年</c:v>
                </c:pt>
                <c:pt idx="3">
                  <c:v>2024年</c:v>
                </c:pt>
                <c:pt idx="4">
                  <c:v>2025年</c:v>
                </c:pt>
              </c:strCache>
            </c:strRef>
          </c:cat>
          <c:val>
            <c:numRef>
              <c:f>医生数床位数!$L$4:$P$4</c:f>
              <c:numCache>
                <c:formatCode>General</c:formatCode>
                <c:ptCount val="5"/>
                <c:pt idx="0">
                  <c:v>8579</c:v>
                </c:pt>
                <c:pt idx="1">
                  <c:v>8835</c:v>
                </c:pt>
                <c:pt idx="2">
                  <c:v>9420</c:v>
                </c:pt>
                <c:pt idx="3">
                  <c:v>9202</c:v>
                </c:pt>
                <c:pt idx="4">
                  <c:v>10236</c:v>
                </c:pt>
              </c:numCache>
            </c:numRef>
          </c:val>
        </c:ser>
        <c:ser>
          <c:idx val="1"/>
          <c:order val="1"/>
          <c:tx>
            <c:strRef>
              <c:f>医生数床位数!$B$5</c:f>
              <c:strCache>
                <c:ptCount val="1"/>
                <c:pt idx="0">
                  <c:v>卫生机构医生数</c:v>
                </c:pt>
              </c:strCache>
            </c:strRef>
          </c:tx>
          <c:invertIfNegative val="0"/>
          <c:dLbls>
            <c:spPr>
              <a:noFill/>
              <a:ln>
                <a:noFill/>
              </a:ln>
              <a:effectLst/>
            </c:spPr>
            <c:txPr>
              <a:bodyPr/>
              <a:lstStyle/>
              <a:p>
                <a:pPr>
                  <a:defRPr sz="1000" b="0" i="0" u="none" strike="noStrike" baseline="0">
                    <a:solidFill>
                      <a:srgbClr val="000000"/>
                    </a:solidFill>
                    <a:latin typeface="宋体"/>
                    <a:ea typeface="宋体"/>
                    <a:cs typeface="宋体"/>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医生数床位数!$L$3:$P$3</c:f>
              <c:strCache>
                <c:ptCount val="5"/>
                <c:pt idx="0">
                  <c:v>2021年</c:v>
                </c:pt>
                <c:pt idx="1">
                  <c:v>2022年</c:v>
                </c:pt>
                <c:pt idx="2">
                  <c:v>2023年</c:v>
                </c:pt>
                <c:pt idx="3">
                  <c:v>2024年</c:v>
                </c:pt>
                <c:pt idx="4">
                  <c:v>2025年</c:v>
                </c:pt>
              </c:strCache>
            </c:strRef>
          </c:cat>
          <c:val>
            <c:numRef>
              <c:f>医生数床位数!$L$5:$P$5</c:f>
              <c:numCache>
                <c:formatCode>General</c:formatCode>
                <c:ptCount val="5"/>
                <c:pt idx="0">
                  <c:v>6190</c:v>
                </c:pt>
                <c:pt idx="1">
                  <c:v>6483</c:v>
                </c:pt>
                <c:pt idx="2">
                  <c:v>6897</c:v>
                </c:pt>
                <c:pt idx="3">
                  <c:v>7349</c:v>
                </c:pt>
                <c:pt idx="4">
                  <c:v>7642</c:v>
                </c:pt>
              </c:numCache>
            </c:numRef>
          </c:val>
        </c:ser>
        <c:dLbls>
          <c:showLegendKey val="0"/>
          <c:showVal val="0"/>
          <c:showCatName val="0"/>
          <c:showSerName val="0"/>
          <c:showPercent val="0"/>
          <c:showBubbleSize val="0"/>
        </c:dLbls>
        <c:gapWidth val="75"/>
        <c:axId val="702058904"/>
        <c:axId val="702059296"/>
      </c:barChart>
      <c:catAx>
        <c:axId val="702058904"/>
        <c:scaling>
          <c:orientation val="minMax"/>
        </c:scaling>
        <c:delete val="0"/>
        <c:axPos val="b"/>
        <c:numFmt formatCode="General" sourceLinked="1"/>
        <c:majorTickMark val="none"/>
        <c:minorTickMark val="none"/>
        <c:tickLblPos val="nextTo"/>
        <c:txPr>
          <a:bodyPr rot="0" vert="horz"/>
          <a:lstStyle/>
          <a:p>
            <a:pPr>
              <a:defRPr sz="1000" b="0" i="0" u="none" strike="noStrike" baseline="0">
                <a:solidFill>
                  <a:srgbClr val="000000"/>
                </a:solidFill>
                <a:latin typeface="宋体"/>
                <a:ea typeface="宋体"/>
                <a:cs typeface="宋体"/>
              </a:defRPr>
            </a:pPr>
            <a:endParaRPr lang="zh-CN"/>
          </a:p>
        </c:txPr>
        <c:crossAx val="702059296"/>
        <c:crosses val="autoZero"/>
        <c:auto val="1"/>
        <c:lblAlgn val="ctr"/>
        <c:lblOffset val="100"/>
        <c:tickMarkSkip val="1"/>
        <c:noMultiLvlLbl val="0"/>
      </c:catAx>
      <c:valAx>
        <c:axId val="702059296"/>
        <c:scaling>
          <c:orientation val="minMax"/>
          <c:max val="12000"/>
          <c:min val="0"/>
        </c:scaling>
        <c:delete val="0"/>
        <c:axPos val="l"/>
        <c:numFmt formatCode="General" sourceLinked="1"/>
        <c:majorTickMark val="none"/>
        <c:minorTickMark val="none"/>
        <c:tickLblPos val="nextTo"/>
        <c:txPr>
          <a:bodyPr rot="0" vert="horz"/>
          <a:lstStyle/>
          <a:p>
            <a:pPr>
              <a:defRPr sz="1000" b="0" i="0" u="none" strike="noStrike" baseline="0">
                <a:solidFill>
                  <a:srgbClr val="000000"/>
                </a:solidFill>
                <a:latin typeface="宋体"/>
                <a:ea typeface="宋体"/>
                <a:cs typeface="宋体"/>
              </a:defRPr>
            </a:pPr>
            <a:endParaRPr lang="zh-CN"/>
          </a:p>
        </c:txPr>
        <c:crossAx val="702058904"/>
        <c:crosses val="autoZero"/>
        <c:crossBetween val="between"/>
      </c:valAx>
    </c:plotArea>
    <c:legend>
      <c:legendPos val="b"/>
      <c:overlay val="0"/>
      <c:txPr>
        <a:bodyPr/>
        <a:lstStyle/>
        <a:p>
          <a:pPr>
            <a:defRPr sz="920" b="0" i="0" u="none" strike="noStrike" baseline="0">
              <a:solidFill>
                <a:srgbClr val="000000"/>
              </a:solidFill>
              <a:latin typeface="宋体"/>
              <a:ea typeface="宋体"/>
              <a:cs typeface="宋体"/>
            </a:defRPr>
          </a:pPr>
          <a:endParaRPr lang="zh-CN"/>
        </a:p>
      </c:txPr>
    </c:legend>
    <c:plotVisOnly val="1"/>
    <c:dispBlanksAs val="gap"/>
    <c:showDLblsOverMax val="0"/>
  </c:chart>
  <c:txPr>
    <a:bodyPr/>
    <a:lstStyle/>
    <a:p>
      <a:pPr>
        <a:defRPr sz="1000" b="0" i="0" u="none" strike="noStrike" baseline="0">
          <a:solidFill>
            <a:srgbClr val="000000"/>
          </a:solidFill>
          <a:latin typeface="宋体"/>
          <a:ea typeface="宋体"/>
          <a:cs typeface="宋体"/>
        </a:defRPr>
      </a:pPr>
      <a:endParaRPr lang="zh-CN"/>
    </a:p>
  </c:txPr>
  <c:externalData r:id="rId1">
    <c:autoUpdate val="0"/>
  </c:externalData>
  <c:userShapes r:id="rId2"/>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b="1" i="0" u="none" strike="noStrike" baseline="0">
                <a:solidFill>
                  <a:srgbClr val="000000"/>
                </a:solidFill>
                <a:latin typeface="宋体"/>
                <a:ea typeface="宋体"/>
                <a:cs typeface="宋体"/>
              </a:defRPr>
            </a:pPr>
            <a:r>
              <a:rPr lang="zh-CN" altLang="en-US"/>
              <a:t>建成区面积（平方公里）</a:t>
            </a:r>
          </a:p>
        </c:rich>
      </c:tx>
      <c:overlay val="0"/>
    </c:title>
    <c:autoTitleDeleted val="0"/>
    <c:plotArea>
      <c:layout/>
      <c:barChart>
        <c:barDir val="col"/>
        <c:grouping val="clustered"/>
        <c:varyColors val="0"/>
        <c:ser>
          <c:idx val="0"/>
          <c:order val="0"/>
          <c:tx>
            <c:strRef>
              <c:f>建成区面积!$A$2</c:f>
              <c:strCache>
                <c:ptCount val="1"/>
                <c:pt idx="0">
                  <c:v>建成区面积（平方公里）</c:v>
                </c:pt>
              </c:strCache>
            </c:strRef>
          </c:tx>
          <c:invertIfNegative val="0"/>
          <c:dLbls>
            <c:spPr>
              <a:noFill/>
              <a:ln>
                <a:noFill/>
              </a:ln>
              <a:effectLst/>
            </c:spPr>
            <c:txPr>
              <a:bodyPr/>
              <a:lstStyle/>
              <a:p>
                <a:pPr>
                  <a:defRPr sz="1200" b="1" i="0" u="none" strike="noStrike" baseline="0">
                    <a:solidFill>
                      <a:srgbClr val="000000"/>
                    </a:solidFill>
                    <a:latin typeface="宋体"/>
                    <a:ea typeface="宋体"/>
                    <a:cs typeface="宋体"/>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建成区面积!$L$1:$P$1</c:f>
              <c:strCache>
                <c:ptCount val="5"/>
                <c:pt idx="0">
                  <c:v>2021年</c:v>
                </c:pt>
                <c:pt idx="1">
                  <c:v>2022年</c:v>
                </c:pt>
                <c:pt idx="2">
                  <c:v>2023年</c:v>
                </c:pt>
                <c:pt idx="3">
                  <c:v>2024年</c:v>
                </c:pt>
                <c:pt idx="4">
                  <c:v>2025年</c:v>
                </c:pt>
              </c:strCache>
            </c:strRef>
          </c:cat>
          <c:val>
            <c:numRef>
              <c:f>建成区面积!$L$2:$P$2</c:f>
              <c:numCache>
                <c:formatCode>General</c:formatCode>
                <c:ptCount val="5"/>
                <c:pt idx="0">
                  <c:v>111.11</c:v>
                </c:pt>
                <c:pt idx="1">
                  <c:v>113.06</c:v>
                </c:pt>
                <c:pt idx="2">
                  <c:v>114.46</c:v>
                </c:pt>
                <c:pt idx="3">
                  <c:v>115.95</c:v>
                </c:pt>
                <c:pt idx="4">
                  <c:v>116.48</c:v>
                </c:pt>
              </c:numCache>
            </c:numRef>
          </c:val>
        </c:ser>
        <c:dLbls>
          <c:showLegendKey val="0"/>
          <c:showVal val="0"/>
          <c:showCatName val="0"/>
          <c:showSerName val="0"/>
          <c:showPercent val="0"/>
          <c:showBubbleSize val="0"/>
        </c:dLbls>
        <c:gapWidth val="150"/>
        <c:axId val="702060080"/>
        <c:axId val="702060472"/>
      </c:barChart>
      <c:catAx>
        <c:axId val="702060080"/>
        <c:scaling>
          <c:orientation val="minMax"/>
        </c:scaling>
        <c:delete val="0"/>
        <c:axPos val="b"/>
        <c:numFmt formatCode="General" sourceLinked="1"/>
        <c:majorTickMark val="out"/>
        <c:minorTickMark val="none"/>
        <c:tickLblPos val="nextTo"/>
        <c:txPr>
          <a:bodyPr rot="0" vert="horz"/>
          <a:lstStyle/>
          <a:p>
            <a:pPr>
              <a:defRPr sz="1000" b="0" i="0" u="none" strike="noStrike" baseline="0">
                <a:solidFill>
                  <a:srgbClr val="000000"/>
                </a:solidFill>
                <a:latin typeface="宋体"/>
                <a:ea typeface="宋体"/>
                <a:cs typeface="宋体"/>
              </a:defRPr>
            </a:pPr>
            <a:endParaRPr lang="zh-CN"/>
          </a:p>
        </c:txPr>
        <c:crossAx val="702060472"/>
        <c:crosses val="autoZero"/>
        <c:auto val="1"/>
        <c:lblAlgn val="ctr"/>
        <c:lblOffset val="100"/>
        <c:tickMarkSkip val="1"/>
        <c:noMultiLvlLbl val="0"/>
      </c:catAx>
      <c:valAx>
        <c:axId val="702060472"/>
        <c:scaling>
          <c:orientation val="minMax"/>
        </c:scaling>
        <c:delete val="0"/>
        <c:axPos val="l"/>
        <c:majorGridlines>
          <c:spPr>
            <a:ln w="9525" cap="flat" cmpd="sng" algn="ctr">
              <a:solidFill>
                <a:schemeClr val="bg1"/>
              </a:solidFill>
              <a:prstDash val="solid"/>
              <a:round/>
            </a:ln>
          </c:spPr>
        </c:majorGridlines>
        <c:numFmt formatCode="General" sourceLinked="1"/>
        <c:majorTickMark val="in"/>
        <c:minorTickMark val="none"/>
        <c:tickLblPos val="nextTo"/>
        <c:txPr>
          <a:bodyPr rot="0" vert="horz"/>
          <a:lstStyle/>
          <a:p>
            <a:pPr>
              <a:defRPr sz="1100" b="1" i="0" u="none" strike="noStrike" baseline="0">
                <a:solidFill>
                  <a:srgbClr val="000000"/>
                </a:solidFill>
                <a:latin typeface="宋体"/>
                <a:ea typeface="宋体"/>
                <a:cs typeface="宋体"/>
              </a:defRPr>
            </a:pPr>
            <a:endParaRPr lang="zh-CN"/>
          </a:p>
        </c:txPr>
        <c:crossAx val="702060080"/>
        <c:crosses val="autoZero"/>
        <c:crossBetween val="between"/>
      </c:valAx>
    </c:plotArea>
    <c:plotVisOnly val="1"/>
    <c:dispBlanksAs val="gap"/>
    <c:showDLblsOverMax val="0"/>
  </c:chart>
  <c:txPr>
    <a:bodyPr/>
    <a:lstStyle/>
    <a:p>
      <a:pPr>
        <a:defRPr sz="1000" b="0" i="0" u="none" strike="noStrike" baseline="0">
          <a:solidFill>
            <a:srgbClr val="000000"/>
          </a:solidFill>
          <a:latin typeface="宋体"/>
          <a:ea typeface="宋体"/>
          <a:cs typeface="宋体"/>
        </a:defRPr>
      </a:pPr>
      <a:endParaRPr lang="zh-CN"/>
    </a:p>
  </c:txPr>
  <c:externalData r:id="rId1">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8.571303587051618E-2"/>
          <c:y val="8.6643336249635453E-2"/>
          <c:w val="0.84446522309711292"/>
          <c:h val="0.71460885097696125"/>
        </c:manualLayout>
      </c:layout>
      <c:barChart>
        <c:barDir val="col"/>
        <c:grouping val="clustered"/>
        <c:varyColors val="0"/>
        <c:ser>
          <c:idx val="0"/>
          <c:order val="0"/>
          <c:tx>
            <c:strRef>
              <c:f>户籍人口!$A$2</c:f>
              <c:strCache>
                <c:ptCount val="1"/>
                <c:pt idx="0">
                  <c:v>绝对值（万人）</c:v>
                </c:pt>
              </c:strCache>
            </c:strRef>
          </c:tx>
          <c:spPr>
            <a:solidFill>
              <a:schemeClr val="accent1"/>
            </a:solidFill>
          </c:spPr>
          <c:invertIfNegative val="0"/>
          <c:dLbls>
            <c:numFmt formatCode="#,##0.00_);[Red]\(#,##0.00\)" sourceLinked="0"/>
            <c:spPr>
              <a:noFill/>
              <a:ln>
                <a:noFill/>
              </a:ln>
              <a:effectLst/>
            </c:spPr>
            <c:txPr>
              <a:bodyPr/>
              <a:lstStyle/>
              <a:p>
                <a:pPr>
                  <a:defRPr sz="1200" b="1" i="0" u="none" strike="noStrike" baseline="0">
                    <a:solidFill>
                      <a:srgbClr val="000000"/>
                    </a:solidFill>
                    <a:latin typeface="宋体"/>
                    <a:ea typeface="宋体"/>
                    <a:cs typeface="宋体"/>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户籍人口!$L$1:$P$1</c:f>
              <c:strCache>
                <c:ptCount val="5"/>
                <c:pt idx="0">
                  <c:v>2021年</c:v>
                </c:pt>
                <c:pt idx="1">
                  <c:v>2022年</c:v>
                </c:pt>
                <c:pt idx="2">
                  <c:v>2023年</c:v>
                </c:pt>
                <c:pt idx="3">
                  <c:v>2024年</c:v>
                </c:pt>
                <c:pt idx="4">
                  <c:v>2025年</c:v>
                </c:pt>
              </c:strCache>
            </c:strRef>
          </c:cat>
          <c:val>
            <c:numRef>
              <c:f>户籍人口!$L$2:$P$2</c:f>
              <c:numCache>
                <c:formatCode>0.00_ </c:formatCode>
                <c:ptCount val="5"/>
                <c:pt idx="0">
                  <c:v>87.165599999999998</c:v>
                </c:pt>
                <c:pt idx="1">
                  <c:v>89.081999999999994</c:v>
                </c:pt>
                <c:pt idx="2">
                  <c:v>91.15</c:v>
                </c:pt>
                <c:pt idx="3">
                  <c:v>93.2</c:v>
                </c:pt>
                <c:pt idx="4">
                  <c:v>95.06</c:v>
                </c:pt>
              </c:numCache>
            </c:numRef>
          </c:val>
        </c:ser>
        <c:dLbls>
          <c:showLegendKey val="0"/>
          <c:showVal val="0"/>
          <c:showCatName val="0"/>
          <c:showSerName val="0"/>
          <c:showPercent val="0"/>
          <c:showBubbleSize val="0"/>
        </c:dLbls>
        <c:gapWidth val="75"/>
        <c:axId val="702061256"/>
        <c:axId val="702061648"/>
      </c:barChart>
      <c:lineChart>
        <c:grouping val="standard"/>
        <c:varyColors val="0"/>
        <c:ser>
          <c:idx val="1"/>
          <c:order val="1"/>
          <c:tx>
            <c:strRef>
              <c:f>户籍人口!$A$3</c:f>
              <c:strCache>
                <c:ptCount val="1"/>
                <c:pt idx="0">
                  <c:v>增幅</c:v>
                </c:pt>
              </c:strCache>
            </c:strRef>
          </c:tx>
          <c:marker>
            <c:symbol val="square"/>
            <c:size val="7"/>
          </c:marker>
          <c:dLbls>
            <c:spPr>
              <a:noFill/>
              <a:ln>
                <a:noFill/>
              </a:ln>
              <a:effectLst/>
            </c:spPr>
            <c:txPr>
              <a:bodyPr/>
              <a:lstStyle/>
              <a:p>
                <a:pPr>
                  <a:defRPr sz="1000" b="1" i="0" u="none" strike="noStrike" baseline="0">
                    <a:solidFill>
                      <a:srgbClr val="000000"/>
                    </a:solidFill>
                    <a:latin typeface="宋体"/>
                    <a:ea typeface="宋体"/>
                    <a:cs typeface="宋体"/>
                  </a:defRPr>
                </a:pPr>
                <a:endParaRPr lang="zh-CN"/>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户籍人口!$J$1:$N$1</c:f>
              <c:strCache>
                <c:ptCount val="5"/>
                <c:pt idx="0">
                  <c:v>2019年</c:v>
                </c:pt>
                <c:pt idx="1">
                  <c:v>2020年</c:v>
                </c:pt>
                <c:pt idx="2">
                  <c:v>2021年</c:v>
                </c:pt>
                <c:pt idx="3">
                  <c:v>2022年</c:v>
                </c:pt>
                <c:pt idx="4">
                  <c:v>2023年</c:v>
                </c:pt>
              </c:strCache>
            </c:strRef>
          </c:cat>
          <c:val>
            <c:numRef>
              <c:f>户籍人口!$L$3:$P$3</c:f>
              <c:numCache>
                <c:formatCode>0.0%</c:formatCode>
                <c:ptCount val="5"/>
                <c:pt idx="0">
                  <c:v>2.1000000000000001E-2</c:v>
                </c:pt>
                <c:pt idx="1">
                  <c:v>2.2000000000000002E-2</c:v>
                </c:pt>
                <c:pt idx="2">
                  <c:v>2.3E-2</c:v>
                </c:pt>
                <c:pt idx="3">
                  <c:v>2.2000000000000002E-2</c:v>
                </c:pt>
                <c:pt idx="4">
                  <c:v>0.02</c:v>
                </c:pt>
              </c:numCache>
            </c:numRef>
          </c:val>
          <c:smooth val="0"/>
        </c:ser>
        <c:dLbls>
          <c:showLegendKey val="0"/>
          <c:showVal val="0"/>
          <c:showCatName val="0"/>
          <c:showSerName val="0"/>
          <c:showPercent val="0"/>
          <c:showBubbleSize val="0"/>
        </c:dLbls>
        <c:marker val="1"/>
        <c:smooth val="0"/>
        <c:axId val="702062040"/>
        <c:axId val="702062432"/>
      </c:lineChart>
      <c:catAx>
        <c:axId val="702061256"/>
        <c:scaling>
          <c:orientation val="minMax"/>
        </c:scaling>
        <c:delete val="0"/>
        <c:axPos val="b"/>
        <c:numFmt formatCode="General" sourceLinked="1"/>
        <c:majorTickMark val="none"/>
        <c:minorTickMark val="none"/>
        <c:tickLblPos val="nextTo"/>
        <c:txPr>
          <a:bodyPr rot="0" vert="horz"/>
          <a:lstStyle/>
          <a:p>
            <a:pPr>
              <a:defRPr sz="1000" b="0" i="0" u="none" strike="noStrike" baseline="0">
                <a:solidFill>
                  <a:srgbClr val="000000"/>
                </a:solidFill>
                <a:latin typeface="宋体"/>
                <a:ea typeface="宋体"/>
                <a:cs typeface="宋体"/>
              </a:defRPr>
            </a:pPr>
            <a:endParaRPr lang="zh-CN"/>
          </a:p>
        </c:txPr>
        <c:crossAx val="702061648"/>
        <c:crosses val="autoZero"/>
        <c:auto val="1"/>
        <c:lblAlgn val="ctr"/>
        <c:lblOffset val="100"/>
        <c:tickMarkSkip val="1"/>
        <c:noMultiLvlLbl val="0"/>
      </c:catAx>
      <c:valAx>
        <c:axId val="702061648"/>
        <c:scaling>
          <c:orientation val="minMax"/>
          <c:min val="70"/>
        </c:scaling>
        <c:delete val="0"/>
        <c:axPos val="l"/>
        <c:numFmt formatCode="0_ " sourceLinked="0"/>
        <c:majorTickMark val="in"/>
        <c:minorTickMark val="none"/>
        <c:tickLblPos val="nextTo"/>
        <c:txPr>
          <a:bodyPr rot="0" vert="horz"/>
          <a:lstStyle/>
          <a:p>
            <a:pPr>
              <a:defRPr sz="1100" b="1" i="0" u="none" strike="noStrike" baseline="0">
                <a:solidFill>
                  <a:srgbClr val="000000"/>
                </a:solidFill>
                <a:latin typeface="宋体"/>
                <a:ea typeface="宋体"/>
                <a:cs typeface="宋体"/>
              </a:defRPr>
            </a:pPr>
            <a:endParaRPr lang="zh-CN"/>
          </a:p>
        </c:txPr>
        <c:crossAx val="702061256"/>
        <c:crosses val="autoZero"/>
        <c:crossBetween val="between"/>
        <c:majorUnit val="5"/>
      </c:valAx>
      <c:catAx>
        <c:axId val="702062040"/>
        <c:scaling>
          <c:orientation val="minMax"/>
        </c:scaling>
        <c:delete val="1"/>
        <c:axPos val="b"/>
        <c:numFmt formatCode="General" sourceLinked="1"/>
        <c:majorTickMark val="out"/>
        <c:minorTickMark val="none"/>
        <c:tickLblPos val="nextTo"/>
        <c:crossAx val="702062432"/>
        <c:crosses val="autoZero"/>
        <c:auto val="1"/>
        <c:lblAlgn val="ctr"/>
        <c:lblOffset val="100"/>
        <c:noMultiLvlLbl val="0"/>
      </c:catAx>
      <c:valAx>
        <c:axId val="702062432"/>
        <c:scaling>
          <c:orientation val="minMax"/>
          <c:max val="0.05"/>
        </c:scaling>
        <c:delete val="0"/>
        <c:axPos val="r"/>
        <c:numFmt formatCode="0%" sourceLinked="0"/>
        <c:majorTickMark val="in"/>
        <c:minorTickMark val="none"/>
        <c:tickLblPos val="nextTo"/>
        <c:txPr>
          <a:bodyPr rot="0" vert="horz"/>
          <a:lstStyle/>
          <a:p>
            <a:pPr>
              <a:defRPr sz="1000" b="1" i="0" u="none" strike="noStrike" baseline="0">
                <a:solidFill>
                  <a:srgbClr val="000000"/>
                </a:solidFill>
                <a:latin typeface="宋体"/>
                <a:ea typeface="宋体"/>
                <a:cs typeface="宋体"/>
              </a:defRPr>
            </a:pPr>
            <a:endParaRPr lang="zh-CN"/>
          </a:p>
        </c:txPr>
        <c:crossAx val="702062040"/>
        <c:crosses val="max"/>
        <c:crossBetween val="between"/>
        <c:majorUnit val="1.0000000000000002E-2"/>
      </c:valAx>
    </c:plotArea>
    <c:legend>
      <c:legendPos val="b"/>
      <c:layout>
        <c:manualLayout>
          <c:xMode val="edge"/>
          <c:yMode val="edge"/>
          <c:x val="0.26166669244929847"/>
          <c:y val="0.9023939195100612"/>
          <c:w val="0.49333333333333335"/>
          <c:h val="8.3717191601049845E-2"/>
        </c:manualLayout>
      </c:layout>
      <c:overlay val="0"/>
      <c:txPr>
        <a:bodyPr/>
        <a:lstStyle/>
        <a:p>
          <a:pPr>
            <a:defRPr sz="920" b="0" i="0" u="none" strike="noStrike" baseline="0">
              <a:solidFill>
                <a:srgbClr val="000000"/>
              </a:solidFill>
              <a:latin typeface="宋体"/>
              <a:ea typeface="宋体"/>
              <a:cs typeface="宋体"/>
            </a:defRPr>
          </a:pPr>
          <a:endParaRPr lang="zh-CN"/>
        </a:p>
      </c:txPr>
    </c:legend>
    <c:plotVisOnly val="1"/>
    <c:dispBlanksAs val="gap"/>
    <c:showDLblsOverMax val="0"/>
  </c:chart>
  <c:txPr>
    <a:bodyPr/>
    <a:lstStyle/>
    <a:p>
      <a:pPr>
        <a:defRPr sz="1000" b="0" i="0" u="none" strike="noStrike" baseline="0">
          <a:solidFill>
            <a:srgbClr val="000000"/>
          </a:solidFill>
          <a:latin typeface="宋体"/>
          <a:ea typeface="宋体"/>
          <a:cs typeface="宋体"/>
        </a:defRPr>
      </a:pPr>
      <a:endParaRPr lang="zh-CN"/>
    </a:p>
  </c:txPr>
  <c:externalData r:id="rId1">
    <c:autoUpdate val="0"/>
  </c:externalData>
  <c:userShapes r:id="rId2"/>
</c:chartSpace>
</file>

<file path=word/charts/chart1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2939370078740156"/>
          <c:y val="0.10516185476815398"/>
          <c:w val="0.78392344706911632"/>
          <c:h val="0.71460885097696125"/>
        </c:manualLayout>
      </c:layout>
      <c:barChart>
        <c:barDir val="col"/>
        <c:grouping val="clustered"/>
        <c:varyColors val="0"/>
        <c:ser>
          <c:idx val="0"/>
          <c:order val="0"/>
          <c:tx>
            <c:strRef>
              <c:f>居民收入!$A$2</c:f>
              <c:strCache>
                <c:ptCount val="1"/>
                <c:pt idx="0">
                  <c:v>绝对值（元）</c:v>
                </c:pt>
              </c:strCache>
            </c:strRef>
          </c:tx>
          <c:spPr>
            <a:solidFill>
              <a:schemeClr val="accent1"/>
            </a:solidFill>
          </c:spPr>
          <c:invertIfNegative val="0"/>
          <c:dLbls>
            <c:spPr>
              <a:noFill/>
              <a:ln>
                <a:noFill/>
              </a:ln>
              <a:effectLst/>
            </c:spPr>
            <c:txPr>
              <a:bodyPr/>
              <a:lstStyle/>
              <a:p>
                <a:pPr>
                  <a:defRPr sz="1200" b="1" i="0" u="none" strike="noStrike" baseline="0">
                    <a:solidFill>
                      <a:srgbClr val="000000"/>
                    </a:solidFill>
                    <a:latin typeface="宋体"/>
                    <a:ea typeface="宋体"/>
                    <a:cs typeface="宋体"/>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居民收入!$M$1:$Q$1</c:f>
              <c:strCache>
                <c:ptCount val="5"/>
                <c:pt idx="0">
                  <c:v>2021年</c:v>
                </c:pt>
                <c:pt idx="1">
                  <c:v>2022年</c:v>
                </c:pt>
                <c:pt idx="2">
                  <c:v>2023年</c:v>
                </c:pt>
                <c:pt idx="3">
                  <c:v>2024年</c:v>
                </c:pt>
                <c:pt idx="4">
                  <c:v>2025年</c:v>
                </c:pt>
              </c:strCache>
            </c:strRef>
          </c:cat>
          <c:val>
            <c:numRef>
              <c:f>居民收入!$M$2:$Q$2</c:f>
              <c:numCache>
                <c:formatCode>General</c:formatCode>
                <c:ptCount val="5"/>
                <c:pt idx="0">
                  <c:v>86628</c:v>
                </c:pt>
                <c:pt idx="1">
                  <c:v>86975</c:v>
                </c:pt>
                <c:pt idx="2">
                  <c:v>93108</c:v>
                </c:pt>
                <c:pt idx="3">
                  <c:v>97170</c:v>
                </c:pt>
                <c:pt idx="4">
                  <c:v>101816</c:v>
                </c:pt>
              </c:numCache>
            </c:numRef>
          </c:val>
        </c:ser>
        <c:dLbls>
          <c:showLegendKey val="0"/>
          <c:showVal val="0"/>
          <c:showCatName val="0"/>
          <c:showSerName val="0"/>
          <c:showPercent val="0"/>
          <c:showBubbleSize val="0"/>
        </c:dLbls>
        <c:gapWidth val="75"/>
        <c:axId val="702063216"/>
        <c:axId val="702063608"/>
      </c:barChart>
      <c:lineChart>
        <c:grouping val="standard"/>
        <c:varyColors val="0"/>
        <c:ser>
          <c:idx val="1"/>
          <c:order val="1"/>
          <c:tx>
            <c:strRef>
              <c:f>居民收入!$A$3</c:f>
              <c:strCache>
                <c:ptCount val="1"/>
                <c:pt idx="0">
                  <c:v>增幅</c:v>
                </c:pt>
              </c:strCache>
            </c:strRef>
          </c:tx>
          <c:marker>
            <c:symbol val="square"/>
            <c:size val="7"/>
          </c:marker>
          <c:dLbls>
            <c:dLbl>
              <c:idx val="0"/>
              <c:layout>
                <c:manualLayout>
                  <c:x val="-6.3951661874005708E-2"/>
                  <c:y val="5.0451297754447448E-2"/>
                </c:manualLayout>
              </c:layout>
              <c:dLblPos val="r"/>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a:lstStyle/>
              <a:p>
                <a:pPr>
                  <a:defRPr sz="1000" b="1" i="0" u="none" strike="noStrike" baseline="0">
                    <a:solidFill>
                      <a:srgbClr val="000000"/>
                    </a:solidFill>
                    <a:latin typeface="宋体"/>
                    <a:ea typeface="宋体"/>
                    <a:cs typeface="宋体"/>
                  </a:defRPr>
                </a:pPr>
                <a:endParaRPr lang="zh-CN"/>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居民收入!$K$1:$O$1</c:f>
              <c:strCache>
                <c:ptCount val="5"/>
                <c:pt idx="0">
                  <c:v>2019年</c:v>
                </c:pt>
                <c:pt idx="1">
                  <c:v>2020年</c:v>
                </c:pt>
                <c:pt idx="2">
                  <c:v>2021年</c:v>
                </c:pt>
                <c:pt idx="3">
                  <c:v>2022年</c:v>
                </c:pt>
                <c:pt idx="4">
                  <c:v>2023年</c:v>
                </c:pt>
              </c:strCache>
            </c:strRef>
          </c:cat>
          <c:val>
            <c:numRef>
              <c:f>居民收入!$M$3:$Q$3</c:f>
              <c:numCache>
                <c:formatCode>0.0%</c:formatCode>
                <c:ptCount val="5"/>
                <c:pt idx="0">
                  <c:v>8.1000000000000003E-2</c:v>
                </c:pt>
                <c:pt idx="1">
                  <c:v>4.0000000000000001E-3</c:v>
                </c:pt>
                <c:pt idx="2">
                  <c:v>7.0999999999999994E-2</c:v>
                </c:pt>
                <c:pt idx="3">
                  <c:v>4.3999999999999997E-2</c:v>
                </c:pt>
                <c:pt idx="4">
                  <c:v>4.8000000000000001E-2</c:v>
                </c:pt>
              </c:numCache>
            </c:numRef>
          </c:val>
          <c:smooth val="0"/>
        </c:ser>
        <c:dLbls>
          <c:showLegendKey val="0"/>
          <c:showVal val="0"/>
          <c:showCatName val="0"/>
          <c:showSerName val="0"/>
          <c:showPercent val="0"/>
          <c:showBubbleSize val="0"/>
        </c:dLbls>
        <c:marker val="1"/>
        <c:smooth val="0"/>
        <c:axId val="702064000"/>
        <c:axId val="702064392"/>
      </c:lineChart>
      <c:catAx>
        <c:axId val="702063216"/>
        <c:scaling>
          <c:orientation val="minMax"/>
        </c:scaling>
        <c:delete val="0"/>
        <c:axPos val="b"/>
        <c:numFmt formatCode="General" sourceLinked="1"/>
        <c:majorTickMark val="none"/>
        <c:minorTickMark val="none"/>
        <c:tickLblPos val="nextTo"/>
        <c:txPr>
          <a:bodyPr rot="0" vert="horz"/>
          <a:lstStyle/>
          <a:p>
            <a:pPr>
              <a:defRPr sz="1000" b="0" i="0" u="none" strike="noStrike" baseline="0">
                <a:solidFill>
                  <a:srgbClr val="000000"/>
                </a:solidFill>
                <a:latin typeface="宋体"/>
                <a:ea typeface="宋体"/>
                <a:cs typeface="宋体"/>
              </a:defRPr>
            </a:pPr>
            <a:endParaRPr lang="zh-CN"/>
          </a:p>
        </c:txPr>
        <c:crossAx val="702063608"/>
        <c:crosses val="autoZero"/>
        <c:auto val="1"/>
        <c:lblAlgn val="ctr"/>
        <c:lblOffset val="100"/>
        <c:tickMarkSkip val="1"/>
        <c:noMultiLvlLbl val="0"/>
      </c:catAx>
      <c:valAx>
        <c:axId val="702063608"/>
        <c:scaling>
          <c:orientation val="minMax"/>
          <c:min val="20000"/>
        </c:scaling>
        <c:delete val="0"/>
        <c:axPos val="l"/>
        <c:numFmt formatCode="General" sourceLinked="1"/>
        <c:majorTickMark val="in"/>
        <c:minorTickMark val="none"/>
        <c:tickLblPos val="nextTo"/>
        <c:txPr>
          <a:bodyPr rot="0" vert="horz"/>
          <a:lstStyle/>
          <a:p>
            <a:pPr>
              <a:defRPr sz="1100" b="1" i="0" u="none" strike="noStrike" baseline="0">
                <a:solidFill>
                  <a:srgbClr val="000000"/>
                </a:solidFill>
                <a:latin typeface="宋体"/>
                <a:ea typeface="宋体"/>
                <a:cs typeface="宋体"/>
              </a:defRPr>
            </a:pPr>
            <a:endParaRPr lang="zh-CN"/>
          </a:p>
        </c:txPr>
        <c:crossAx val="702063216"/>
        <c:crosses val="autoZero"/>
        <c:crossBetween val="between"/>
        <c:majorUnit val="10000"/>
      </c:valAx>
      <c:catAx>
        <c:axId val="702064000"/>
        <c:scaling>
          <c:orientation val="minMax"/>
        </c:scaling>
        <c:delete val="1"/>
        <c:axPos val="b"/>
        <c:numFmt formatCode="General" sourceLinked="1"/>
        <c:majorTickMark val="out"/>
        <c:minorTickMark val="none"/>
        <c:tickLblPos val="nextTo"/>
        <c:crossAx val="702064392"/>
        <c:crosses val="autoZero"/>
        <c:auto val="1"/>
        <c:lblAlgn val="ctr"/>
        <c:lblOffset val="100"/>
        <c:noMultiLvlLbl val="0"/>
      </c:catAx>
      <c:valAx>
        <c:axId val="702064392"/>
        <c:scaling>
          <c:orientation val="minMax"/>
          <c:max val="0.2"/>
        </c:scaling>
        <c:delete val="0"/>
        <c:axPos val="r"/>
        <c:numFmt formatCode="0%" sourceLinked="0"/>
        <c:majorTickMark val="in"/>
        <c:minorTickMark val="none"/>
        <c:tickLblPos val="nextTo"/>
        <c:txPr>
          <a:bodyPr rot="0" vert="horz"/>
          <a:lstStyle/>
          <a:p>
            <a:pPr>
              <a:defRPr sz="1000" b="1" i="0" u="none" strike="noStrike" baseline="0">
                <a:solidFill>
                  <a:srgbClr val="000000"/>
                </a:solidFill>
                <a:latin typeface="宋体"/>
                <a:ea typeface="宋体"/>
                <a:cs typeface="宋体"/>
              </a:defRPr>
            </a:pPr>
            <a:endParaRPr lang="zh-CN"/>
          </a:p>
        </c:txPr>
        <c:crossAx val="702064000"/>
        <c:crosses val="max"/>
        <c:crossBetween val="between"/>
        <c:majorUnit val="5.000000000000001E-2"/>
      </c:valAx>
    </c:plotArea>
    <c:legend>
      <c:legendPos val="b"/>
      <c:layout>
        <c:manualLayout>
          <c:xMode val="edge"/>
          <c:yMode val="edge"/>
          <c:x val="0.28111105608654263"/>
          <c:y val="0.90239376940627514"/>
          <c:w val="0.46000011004913699"/>
          <c:h val="8.3717084384059781E-2"/>
        </c:manualLayout>
      </c:layout>
      <c:overlay val="0"/>
      <c:txPr>
        <a:bodyPr/>
        <a:lstStyle/>
        <a:p>
          <a:pPr>
            <a:defRPr sz="920" b="0" i="0" u="none" strike="noStrike" baseline="0">
              <a:solidFill>
                <a:srgbClr val="000000"/>
              </a:solidFill>
              <a:latin typeface="宋体"/>
              <a:ea typeface="宋体"/>
              <a:cs typeface="宋体"/>
            </a:defRPr>
          </a:pPr>
          <a:endParaRPr lang="zh-CN"/>
        </a:p>
      </c:txPr>
    </c:legend>
    <c:plotVisOnly val="1"/>
    <c:dispBlanksAs val="gap"/>
    <c:showDLblsOverMax val="0"/>
  </c:chart>
  <c:txPr>
    <a:bodyPr/>
    <a:lstStyle/>
    <a:p>
      <a:pPr>
        <a:defRPr sz="1000" b="0" i="0" u="none" strike="noStrike" baseline="0">
          <a:solidFill>
            <a:srgbClr val="000000"/>
          </a:solidFill>
          <a:latin typeface="宋体"/>
          <a:ea typeface="宋体"/>
          <a:cs typeface="宋体"/>
        </a:defRPr>
      </a:pPr>
      <a:endParaRPr lang="zh-CN"/>
    </a:p>
  </c:txPr>
  <c:externalData r:id="rId1">
    <c:autoUpdate val="0"/>
  </c:externalData>
  <c:userShapes r:id="rId2"/>
</c:chartSpace>
</file>

<file path=word/charts/chart1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2939370078740156"/>
          <c:y val="9.1272965879265103E-2"/>
          <c:w val="0.78392344706911632"/>
          <c:h val="0.71460885097696125"/>
        </c:manualLayout>
      </c:layout>
      <c:barChart>
        <c:barDir val="col"/>
        <c:grouping val="clustered"/>
        <c:varyColors val="0"/>
        <c:ser>
          <c:idx val="0"/>
          <c:order val="0"/>
          <c:tx>
            <c:strRef>
              <c:f>居民收入!$S$2</c:f>
              <c:strCache>
                <c:ptCount val="1"/>
                <c:pt idx="0">
                  <c:v>绝对值（元）</c:v>
                </c:pt>
              </c:strCache>
            </c:strRef>
          </c:tx>
          <c:spPr>
            <a:solidFill>
              <a:schemeClr val="accent1"/>
            </a:solidFill>
          </c:spPr>
          <c:invertIfNegative val="0"/>
          <c:dLbls>
            <c:dLbl>
              <c:idx val="3"/>
              <c:layout>
                <c:manualLayout>
                  <c:x val="0"/>
                  <c:y val="1.2987012987012988E-2"/>
                </c:manualLayout>
              </c:layout>
              <c:dLblPos val="outEnd"/>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a:lstStyle/>
              <a:p>
                <a:pPr>
                  <a:defRPr sz="1200" b="1" i="0" u="none" strike="noStrike" baseline="0">
                    <a:solidFill>
                      <a:srgbClr val="000000"/>
                    </a:solidFill>
                    <a:latin typeface="宋体"/>
                    <a:ea typeface="宋体"/>
                    <a:cs typeface="宋体"/>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居民收入!$AE$1:$AI$1</c:f>
              <c:strCache>
                <c:ptCount val="5"/>
                <c:pt idx="0">
                  <c:v>2021年</c:v>
                </c:pt>
                <c:pt idx="1">
                  <c:v>2022年</c:v>
                </c:pt>
                <c:pt idx="2">
                  <c:v>2023年</c:v>
                </c:pt>
                <c:pt idx="3">
                  <c:v>2024年</c:v>
                </c:pt>
                <c:pt idx="4">
                  <c:v>2025年</c:v>
                </c:pt>
              </c:strCache>
            </c:strRef>
          </c:cat>
          <c:val>
            <c:numRef>
              <c:f>居民收入!$AE$2:$AI$2</c:f>
              <c:numCache>
                <c:formatCode>General</c:formatCode>
                <c:ptCount val="5"/>
                <c:pt idx="0">
                  <c:v>46121</c:v>
                </c:pt>
                <c:pt idx="1">
                  <c:v>47042</c:v>
                </c:pt>
                <c:pt idx="2">
                  <c:v>50828</c:v>
                </c:pt>
                <c:pt idx="3">
                  <c:v>54407</c:v>
                </c:pt>
                <c:pt idx="4">
                  <c:v>57965</c:v>
                </c:pt>
              </c:numCache>
            </c:numRef>
          </c:val>
        </c:ser>
        <c:dLbls>
          <c:showLegendKey val="0"/>
          <c:showVal val="0"/>
          <c:showCatName val="0"/>
          <c:showSerName val="0"/>
          <c:showPercent val="0"/>
          <c:showBubbleSize val="0"/>
        </c:dLbls>
        <c:gapWidth val="75"/>
        <c:axId val="702065176"/>
        <c:axId val="702065568"/>
      </c:barChart>
      <c:lineChart>
        <c:grouping val="standard"/>
        <c:varyColors val="0"/>
        <c:ser>
          <c:idx val="1"/>
          <c:order val="1"/>
          <c:tx>
            <c:strRef>
              <c:f>居民收入!$S$3</c:f>
              <c:strCache>
                <c:ptCount val="1"/>
                <c:pt idx="0">
                  <c:v>增幅</c:v>
                </c:pt>
              </c:strCache>
            </c:strRef>
          </c:tx>
          <c:marker>
            <c:symbol val="square"/>
            <c:size val="7"/>
          </c:marker>
          <c:dLbls>
            <c:dLbl>
              <c:idx val="0"/>
              <c:layout>
                <c:manualLayout>
                  <c:x val="-5.4030677357990824E-2"/>
                  <c:y val="5.9710557013706617E-2"/>
                </c:manualLayout>
              </c:layout>
              <c:dLblPos val="r"/>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a:lstStyle/>
              <a:p>
                <a:pPr>
                  <a:defRPr sz="1000" b="1" i="0" u="none" strike="noStrike" baseline="0">
                    <a:solidFill>
                      <a:srgbClr val="000000"/>
                    </a:solidFill>
                    <a:latin typeface="宋体"/>
                    <a:ea typeface="宋体"/>
                    <a:cs typeface="宋体"/>
                  </a:defRPr>
                </a:pPr>
                <a:endParaRPr lang="zh-CN"/>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居民收入!$AC$1:$AG$1</c:f>
              <c:strCache>
                <c:ptCount val="5"/>
                <c:pt idx="0">
                  <c:v>2019年</c:v>
                </c:pt>
                <c:pt idx="1">
                  <c:v>2020年</c:v>
                </c:pt>
                <c:pt idx="2">
                  <c:v>2021年</c:v>
                </c:pt>
                <c:pt idx="3">
                  <c:v>2022年</c:v>
                </c:pt>
                <c:pt idx="4">
                  <c:v>2023年</c:v>
                </c:pt>
              </c:strCache>
            </c:strRef>
          </c:cat>
          <c:val>
            <c:numRef>
              <c:f>居民收入!$AE$3:$AI$3</c:f>
              <c:numCache>
                <c:formatCode>0.0%</c:formatCode>
                <c:ptCount val="5"/>
                <c:pt idx="0">
                  <c:v>9.4E-2</c:v>
                </c:pt>
                <c:pt idx="1">
                  <c:v>0.02</c:v>
                </c:pt>
                <c:pt idx="2">
                  <c:v>0.08</c:v>
                </c:pt>
                <c:pt idx="3">
                  <c:v>7.0000000000000007E-2</c:v>
                </c:pt>
                <c:pt idx="4">
                  <c:v>6.5000000000000002E-2</c:v>
                </c:pt>
              </c:numCache>
            </c:numRef>
          </c:val>
          <c:smooth val="0"/>
        </c:ser>
        <c:dLbls>
          <c:showLegendKey val="0"/>
          <c:showVal val="0"/>
          <c:showCatName val="0"/>
          <c:showSerName val="0"/>
          <c:showPercent val="0"/>
          <c:showBubbleSize val="0"/>
        </c:dLbls>
        <c:marker val="1"/>
        <c:smooth val="0"/>
        <c:axId val="702065960"/>
        <c:axId val="702066352"/>
      </c:lineChart>
      <c:catAx>
        <c:axId val="702065176"/>
        <c:scaling>
          <c:orientation val="minMax"/>
        </c:scaling>
        <c:delete val="0"/>
        <c:axPos val="b"/>
        <c:numFmt formatCode="General" sourceLinked="1"/>
        <c:majorTickMark val="none"/>
        <c:minorTickMark val="none"/>
        <c:tickLblPos val="nextTo"/>
        <c:txPr>
          <a:bodyPr rot="0" vert="horz"/>
          <a:lstStyle/>
          <a:p>
            <a:pPr>
              <a:defRPr sz="1000" b="0" i="0" u="none" strike="noStrike" baseline="0">
                <a:solidFill>
                  <a:srgbClr val="000000"/>
                </a:solidFill>
                <a:latin typeface="宋体"/>
                <a:ea typeface="宋体"/>
                <a:cs typeface="宋体"/>
              </a:defRPr>
            </a:pPr>
            <a:endParaRPr lang="zh-CN"/>
          </a:p>
        </c:txPr>
        <c:crossAx val="702065568"/>
        <c:crosses val="autoZero"/>
        <c:auto val="1"/>
        <c:lblAlgn val="ctr"/>
        <c:lblOffset val="100"/>
        <c:tickMarkSkip val="1"/>
        <c:noMultiLvlLbl val="0"/>
      </c:catAx>
      <c:valAx>
        <c:axId val="702065568"/>
        <c:scaling>
          <c:orientation val="minMax"/>
        </c:scaling>
        <c:delete val="0"/>
        <c:axPos val="l"/>
        <c:numFmt formatCode="General" sourceLinked="1"/>
        <c:majorTickMark val="in"/>
        <c:minorTickMark val="none"/>
        <c:tickLblPos val="nextTo"/>
        <c:txPr>
          <a:bodyPr rot="0" vert="horz"/>
          <a:lstStyle/>
          <a:p>
            <a:pPr>
              <a:defRPr sz="1100" b="1" i="0" u="none" strike="noStrike" baseline="0">
                <a:solidFill>
                  <a:srgbClr val="000000"/>
                </a:solidFill>
                <a:latin typeface="宋体"/>
                <a:ea typeface="宋体"/>
                <a:cs typeface="宋体"/>
              </a:defRPr>
            </a:pPr>
            <a:endParaRPr lang="zh-CN"/>
          </a:p>
        </c:txPr>
        <c:crossAx val="702065176"/>
        <c:crosses val="autoZero"/>
        <c:crossBetween val="between"/>
        <c:majorUnit val="10000"/>
      </c:valAx>
      <c:catAx>
        <c:axId val="702065960"/>
        <c:scaling>
          <c:orientation val="minMax"/>
        </c:scaling>
        <c:delete val="1"/>
        <c:axPos val="b"/>
        <c:numFmt formatCode="General" sourceLinked="1"/>
        <c:majorTickMark val="out"/>
        <c:minorTickMark val="none"/>
        <c:tickLblPos val="nextTo"/>
        <c:crossAx val="702066352"/>
        <c:crosses val="autoZero"/>
        <c:auto val="1"/>
        <c:lblAlgn val="ctr"/>
        <c:lblOffset val="100"/>
        <c:noMultiLvlLbl val="0"/>
      </c:catAx>
      <c:valAx>
        <c:axId val="702066352"/>
        <c:scaling>
          <c:orientation val="minMax"/>
          <c:max val="0.2"/>
        </c:scaling>
        <c:delete val="0"/>
        <c:axPos val="r"/>
        <c:numFmt formatCode="0%" sourceLinked="0"/>
        <c:majorTickMark val="in"/>
        <c:minorTickMark val="none"/>
        <c:tickLblPos val="nextTo"/>
        <c:txPr>
          <a:bodyPr rot="0" vert="horz"/>
          <a:lstStyle/>
          <a:p>
            <a:pPr>
              <a:defRPr sz="1000" b="1" i="0" u="none" strike="noStrike" baseline="0">
                <a:solidFill>
                  <a:srgbClr val="000000"/>
                </a:solidFill>
                <a:latin typeface="宋体"/>
                <a:ea typeface="宋体"/>
                <a:cs typeface="宋体"/>
              </a:defRPr>
            </a:pPr>
            <a:endParaRPr lang="zh-CN"/>
          </a:p>
        </c:txPr>
        <c:crossAx val="702065960"/>
        <c:crosses val="max"/>
        <c:crossBetween val="between"/>
        <c:majorUnit val="5.000000000000001E-2"/>
      </c:valAx>
    </c:plotArea>
    <c:legend>
      <c:legendPos val="b"/>
      <c:layout>
        <c:manualLayout>
          <c:xMode val="edge"/>
          <c:yMode val="edge"/>
          <c:x val="0.27000005502456847"/>
          <c:y val="0.90239400856651875"/>
          <c:w val="0.46000011004913699"/>
          <c:h val="8.371728778202403E-2"/>
        </c:manualLayout>
      </c:layout>
      <c:overlay val="0"/>
      <c:txPr>
        <a:bodyPr/>
        <a:lstStyle/>
        <a:p>
          <a:pPr>
            <a:defRPr sz="920" b="0" i="0" u="none" strike="noStrike" baseline="0">
              <a:solidFill>
                <a:srgbClr val="000000"/>
              </a:solidFill>
              <a:latin typeface="宋体"/>
              <a:ea typeface="宋体"/>
              <a:cs typeface="宋体"/>
            </a:defRPr>
          </a:pPr>
          <a:endParaRPr lang="zh-CN"/>
        </a:p>
      </c:txPr>
    </c:legend>
    <c:plotVisOnly val="1"/>
    <c:dispBlanksAs val="gap"/>
    <c:showDLblsOverMax val="0"/>
  </c:chart>
  <c:txPr>
    <a:bodyPr/>
    <a:lstStyle/>
    <a:p>
      <a:pPr>
        <a:defRPr sz="1000" b="0" i="0" u="none" strike="noStrike" baseline="0">
          <a:solidFill>
            <a:srgbClr val="000000"/>
          </a:solidFill>
          <a:latin typeface="宋体"/>
          <a:ea typeface="宋体"/>
          <a:cs typeface="宋体"/>
        </a:defRPr>
      </a:pPr>
      <a:endParaRPr lang="zh-CN"/>
    </a:p>
  </c:txPr>
  <c:externalData r:id="rId1">
    <c:autoUpdate val="0"/>
  </c:externalData>
  <c:userShapes r:id="rId2"/>
</c:chartSpace>
</file>

<file path=word/drawings/drawing1.xml><?xml version="1.0" encoding="utf-8"?>
<c:userShapes xmlns:c="http://schemas.openxmlformats.org/drawingml/2006/chart">
  <cdr:relSizeAnchor xmlns:cdr="http://schemas.openxmlformats.org/drawingml/2006/chartDrawing">
    <cdr:from>
      <cdr:x>0.33075</cdr:x>
      <cdr:y>0.02782</cdr:y>
    </cdr:from>
    <cdr:to>
      <cdr:x>0.6478</cdr:x>
      <cdr:y>0.11364</cdr:y>
    </cdr:to>
    <cdr:sp macro="" textlink="">
      <cdr:nvSpPr>
        <cdr:cNvPr id="2" name="TextBox 1"/>
        <cdr:cNvSpPr/>
      </cdr:nvSpPr>
      <cdr:spPr>
        <a:xfrm xmlns:a="http://schemas.openxmlformats.org/drawingml/2006/main">
          <a:off x="1502724" y="81604"/>
          <a:ext cx="1440493" cy="25177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nSpc>
              <a:spcPts val="1200"/>
            </a:lnSpc>
          </a:pPr>
          <a:r>
            <a:rPr lang="zh-CN" altLang="en-US" sz="1200" b="1"/>
            <a:t>农林牧渔业增加值</a:t>
          </a:r>
        </a:p>
      </cdr:txBody>
    </cdr:sp>
  </cdr:relSizeAnchor>
</c:userShapes>
</file>

<file path=word/drawings/drawing2.xml><?xml version="1.0" encoding="utf-8"?>
<c:userShapes xmlns:c="http://schemas.openxmlformats.org/drawingml/2006/chart">
  <cdr:relSizeAnchor xmlns:cdr="http://schemas.openxmlformats.org/drawingml/2006/chartDrawing">
    <cdr:from>
      <cdr:x>0.29517</cdr:x>
      <cdr:y>0.0191</cdr:y>
    </cdr:from>
    <cdr:to>
      <cdr:x>0.716</cdr:x>
      <cdr:y>0.13715</cdr:y>
    </cdr:to>
    <cdr:sp macro="" textlink="">
      <cdr:nvSpPr>
        <cdr:cNvPr id="2" name="TextBox 1"/>
        <cdr:cNvSpPr txBox="1"/>
      </cdr:nvSpPr>
      <cdr:spPr>
        <a:xfrm xmlns:a="http://schemas.openxmlformats.org/drawingml/2006/main">
          <a:off x="1349517" y="52395"/>
          <a:ext cx="1924035" cy="32383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zh-CN" altLang="en-US" sz="1100" b="1"/>
            <a:t>规模以上工业增加值增速</a:t>
          </a:r>
        </a:p>
      </cdr:txBody>
    </cdr:sp>
  </cdr:relSizeAnchor>
</c:userShapes>
</file>

<file path=word/drawings/drawing3.xml><?xml version="1.0" encoding="utf-8"?>
<c:userShapes xmlns:c="http://schemas.openxmlformats.org/drawingml/2006/chart">
  <cdr:relSizeAnchor xmlns:cdr="http://schemas.openxmlformats.org/drawingml/2006/chartDrawing">
    <cdr:from>
      <cdr:x>0.40544</cdr:x>
      <cdr:y>0.01327</cdr:y>
    </cdr:from>
    <cdr:to>
      <cdr:x>0.63816</cdr:x>
      <cdr:y>0.12697</cdr:y>
    </cdr:to>
    <cdr:sp macro="" textlink="">
      <cdr:nvSpPr>
        <cdr:cNvPr id="2" name="TextBox 1"/>
        <cdr:cNvSpPr/>
      </cdr:nvSpPr>
      <cdr:spPr>
        <a:xfrm xmlns:a="http://schemas.openxmlformats.org/drawingml/2006/main">
          <a:off x="1740564" y="31873"/>
          <a:ext cx="1421119" cy="274029"/>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zh-CN" altLang="en-US" sz="1200" b="1"/>
            <a:t>工业用电量</a:t>
          </a:r>
        </a:p>
      </cdr:txBody>
    </cdr:sp>
  </cdr:relSizeAnchor>
</c:userShapes>
</file>

<file path=word/drawings/drawing4.xml><?xml version="1.0" encoding="utf-8"?>
<c:userShapes xmlns:c="http://schemas.openxmlformats.org/drawingml/2006/chart">
  <cdr:relSizeAnchor xmlns:cdr="http://schemas.openxmlformats.org/drawingml/2006/chartDrawing">
    <cdr:from>
      <cdr:x>0.40697</cdr:x>
      <cdr:y>0.03909</cdr:y>
    </cdr:from>
    <cdr:to>
      <cdr:x>0.66649</cdr:x>
      <cdr:y>0.17702</cdr:y>
    </cdr:to>
    <cdr:sp macro="" textlink="">
      <cdr:nvSpPr>
        <cdr:cNvPr id="2" name="TextBox 1"/>
        <cdr:cNvSpPr/>
      </cdr:nvSpPr>
      <cdr:spPr>
        <a:xfrm xmlns:a="http://schemas.openxmlformats.org/drawingml/2006/main">
          <a:off x="2550" y="132"/>
          <a:ext cx="2430" cy="546"/>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zh-CN" altLang="en-US" sz="1100" b="1"/>
            <a:t>集贸市场成交额</a:t>
          </a:r>
        </a:p>
      </cdr:txBody>
    </cdr:sp>
  </cdr:relSizeAnchor>
</c:userShapes>
</file>

<file path=word/drawings/drawing5.xml><?xml version="1.0" encoding="utf-8"?>
<c:userShapes xmlns:c="http://schemas.openxmlformats.org/drawingml/2006/chart">
  <cdr:relSizeAnchor xmlns:cdr="http://schemas.openxmlformats.org/drawingml/2006/chartDrawing">
    <cdr:from>
      <cdr:x>0.30652</cdr:x>
      <cdr:y>0.03813</cdr:y>
    </cdr:from>
    <cdr:to>
      <cdr:x>0.73958</cdr:x>
      <cdr:y>0.13542</cdr:y>
    </cdr:to>
    <cdr:sp macro="" textlink="">
      <cdr:nvSpPr>
        <cdr:cNvPr id="2" name="TextBox 1"/>
        <cdr:cNvSpPr/>
      </cdr:nvSpPr>
      <cdr:spPr>
        <a:xfrm xmlns:a="http://schemas.openxmlformats.org/drawingml/2006/main">
          <a:off x="1401409" y="104592"/>
          <a:ext cx="1979966" cy="266883"/>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nSpc>
              <a:spcPts val="1000"/>
            </a:lnSpc>
          </a:pPr>
          <a:r>
            <a:rPr lang="zh-CN" altLang="en-US" sz="1100" b="1"/>
            <a:t>中国小商品城市场成交额</a:t>
          </a:r>
        </a:p>
      </cdr:txBody>
    </cdr:sp>
  </cdr:relSizeAnchor>
</c:userShapes>
</file>

<file path=word/drawings/drawing6.xml><?xml version="1.0" encoding="utf-8"?>
<c:userShapes xmlns:c="http://schemas.openxmlformats.org/drawingml/2006/chart">
  <cdr:relSizeAnchor xmlns:cdr="http://schemas.openxmlformats.org/drawingml/2006/chartDrawing">
    <cdr:from>
      <cdr:x>0.37603</cdr:x>
      <cdr:y>0.02952</cdr:y>
    </cdr:from>
    <cdr:to>
      <cdr:x>0.68764</cdr:x>
      <cdr:y>0.153</cdr:y>
    </cdr:to>
    <cdr:sp macro="" textlink="">
      <cdr:nvSpPr>
        <cdr:cNvPr id="2" name="TextBox 1"/>
        <cdr:cNvSpPr/>
      </cdr:nvSpPr>
      <cdr:spPr>
        <a:xfrm xmlns:a="http://schemas.openxmlformats.org/drawingml/2006/main">
          <a:off x="1733550" y="81544"/>
          <a:ext cx="1436543" cy="341076"/>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zh-CN" altLang="en-US" sz="1200" b="1"/>
            <a:t>出口总额</a:t>
          </a:r>
        </a:p>
      </cdr:txBody>
    </cdr:sp>
  </cdr:relSizeAnchor>
</c:userShapes>
</file>

<file path=word/drawings/drawing7.xml><?xml version="1.0" encoding="utf-8"?>
<c:userShapes xmlns:c="http://schemas.openxmlformats.org/drawingml/2006/chart">
  <cdr:relSizeAnchor xmlns:cdr="http://schemas.openxmlformats.org/drawingml/2006/chartDrawing">
    <cdr:from>
      <cdr:x>0.39683</cdr:x>
      <cdr:y>0.01477</cdr:y>
    </cdr:from>
    <cdr:to>
      <cdr:x>0.64374</cdr:x>
      <cdr:y>0.1313</cdr:y>
    </cdr:to>
    <cdr:sp macro="" textlink="">
      <cdr:nvSpPr>
        <cdr:cNvPr id="2" name="TextBox 1"/>
        <cdr:cNvSpPr/>
      </cdr:nvSpPr>
      <cdr:spPr>
        <a:xfrm xmlns:a="http://schemas.openxmlformats.org/drawingml/2006/main">
          <a:off x="1923901" y="40529"/>
          <a:ext cx="1197075" cy="31966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zh-CN" altLang="en-US" sz="1100" b="1"/>
            <a:t>汽车拥有量</a:t>
          </a:r>
        </a:p>
      </cdr:txBody>
    </cdr:sp>
  </cdr:relSizeAnchor>
</c:userShapes>
</file>

<file path=word/drawings/drawing8.xml><?xml version="1.0" encoding="utf-8"?>
<c:userShapes xmlns:c="http://schemas.openxmlformats.org/drawingml/2006/chart">
  <cdr:relSizeAnchor xmlns:cdr="http://schemas.openxmlformats.org/drawingml/2006/chartDrawing">
    <cdr:from>
      <cdr:x>0.37493</cdr:x>
      <cdr:y>0.03129</cdr:y>
    </cdr:from>
    <cdr:to>
      <cdr:x>0.622</cdr:x>
      <cdr:y>0.12</cdr:y>
    </cdr:to>
    <cdr:sp macro="" textlink="">
      <cdr:nvSpPr>
        <cdr:cNvPr id="2" name="TextBox 1"/>
        <cdr:cNvSpPr/>
      </cdr:nvSpPr>
      <cdr:spPr>
        <a:xfrm xmlns:a="http://schemas.openxmlformats.org/drawingml/2006/main">
          <a:off x="1714180" y="85845"/>
          <a:ext cx="1129604" cy="24334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zh-CN" altLang="en-US" sz="1200" b="1"/>
            <a:t>财政总收入</a:t>
          </a:r>
        </a:p>
      </cdr:txBody>
    </cdr:sp>
  </cdr:relSizeAnchor>
</c:userShapes>
</file>

<file path=word/drawings/drawing9.xml><?xml version="1.0" encoding="utf-8"?>
<c:userShapes xmlns:c="http://schemas.openxmlformats.org/drawingml/2006/chart">
  <cdr:relSizeAnchor xmlns:cdr="http://schemas.openxmlformats.org/drawingml/2006/chartDrawing">
    <cdr:from>
      <cdr:x>0.36723</cdr:x>
      <cdr:y>0.01971</cdr:y>
    </cdr:from>
    <cdr:to>
      <cdr:x>0.67924</cdr:x>
      <cdr:y>0.15377</cdr:y>
    </cdr:to>
    <cdr:sp macro="" textlink="">
      <cdr:nvSpPr>
        <cdr:cNvPr id="2" name="TextBox 1"/>
        <cdr:cNvSpPr/>
      </cdr:nvSpPr>
      <cdr:spPr>
        <a:xfrm xmlns:a="http://schemas.openxmlformats.org/drawingml/2006/main">
          <a:off x="1715812" y="54607"/>
          <a:ext cx="1457814" cy="371414"/>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zh-CN" altLang="en-US" sz="1200" b="1"/>
            <a:t>一般公共预算收入</a:t>
          </a:r>
          <a:endParaRPr lang="en-US" altLang="zh-CN" sz="1200" b="1"/>
        </a:p>
      </cdr:txBody>
    </cdr:sp>
  </cdr:relSizeAnchor>
</c:userShapes>
</file>

<file path=word/drawings/drawing10.xml><?xml version="1.0" encoding="utf-8"?>
<c:userShapes xmlns:c="http://schemas.openxmlformats.org/drawingml/2006/chart">
  <cdr:relSizeAnchor xmlns:cdr="http://schemas.openxmlformats.org/drawingml/2006/chartDrawing">
    <cdr:from>
      <cdr:x>0.325</cdr:x>
      <cdr:y>0.03552</cdr:y>
    </cdr:from>
    <cdr:to>
      <cdr:x>0.725</cdr:x>
      <cdr:y>0.11111</cdr:y>
    </cdr:to>
    <cdr:sp macro="" textlink="">
      <cdr:nvSpPr>
        <cdr:cNvPr id="2" name="TextBox 1"/>
        <cdr:cNvSpPr/>
      </cdr:nvSpPr>
      <cdr:spPr>
        <a:xfrm xmlns:a="http://schemas.openxmlformats.org/drawingml/2006/main">
          <a:off x="1485901" y="97449"/>
          <a:ext cx="1828800" cy="207352"/>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nSpc>
              <a:spcPts val="1200"/>
            </a:lnSpc>
          </a:pPr>
          <a:r>
            <a:rPr lang="zh-CN" altLang="en-US" sz="1200" b="1"/>
            <a:t>年末金融机构存款余额</a:t>
          </a:r>
        </a:p>
      </cdr:txBody>
    </cdr:sp>
  </cdr:relSizeAnchor>
</c:userShapes>
</file>

<file path=word/drawings/drawing11.xml><?xml version="1.0" encoding="utf-8"?>
<c:userShapes xmlns:c="http://schemas.openxmlformats.org/drawingml/2006/chart">
  <cdr:relSizeAnchor xmlns:cdr="http://schemas.openxmlformats.org/drawingml/2006/chartDrawing">
    <cdr:from>
      <cdr:x>0.30625</cdr:x>
      <cdr:y>0.03562</cdr:y>
    </cdr:from>
    <cdr:to>
      <cdr:x>0.68389</cdr:x>
      <cdr:y>0.14286</cdr:y>
    </cdr:to>
    <cdr:sp macro="" textlink="">
      <cdr:nvSpPr>
        <cdr:cNvPr id="2" name="TextBox 1"/>
        <cdr:cNvSpPr/>
      </cdr:nvSpPr>
      <cdr:spPr>
        <a:xfrm xmlns:a="http://schemas.openxmlformats.org/drawingml/2006/main">
          <a:off x="1400175" y="97374"/>
          <a:ext cx="1726570" cy="293151"/>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marL="0" marR="0" indent="0" defTabSz="914400" eaLnBrk="1" fontAlgn="auto" latinLnBrk="0" hangingPunct="1">
            <a:lnSpc>
              <a:spcPts val="1200"/>
            </a:lnSpc>
            <a:spcBef>
              <a:spcPts val="0"/>
            </a:spcBef>
            <a:spcAft>
              <a:spcPts val="0"/>
            </a:spcAft>
            <a:buClrTx/>
            <a:buSzTx/>
            <a:buFontTx/>
            <a:buNone/>
            <a:defRPr/>
          </a:pPr>
          <a:r>
            <a:rPr lang="zh-CN" altLang="zh-CN" sz="1100" b="1">
              <a:latin typeface="+mn-lt"/>
              <a:ea typeface="+mn-ea"/>
              <a:cs typeface="+mn-cs"/>
            </a:rPr>
            <a:t>年末金融机构</a:t>
          </a:r>
          <a:r>
            <a:rPr lang="zh-CN" altLang="en-US" sz="1100" b="1">
              <a:latin typeface="+mn-lt"/>
              <a:ea typeface="+mn-ea"/>
              <a:cs typeface="+mn-cs"/>
            </a:rPr>
            <a:t>贷款</a:t>
          </a:r>
          <a:r>
            <a:rPr lang="zh-CN" altLang="zh-CN" sz="1100" b="1">
              <a:latin typeface="+mn-lt"/>
              <a:ea typeface="+mn-ea"/>
              <a:cs typeface="+mn-cs"/>
            </a:rPr>
            <a:t>余额</a:t>
          </a:r>
          <a:endParaRPr lang="zh-CN" altLang="zh-CN"/>
        </a:p>
        <a:p xmlns:a="http://schemas.openxmlformats.org/drawingml/2006/main">
          <a:pPr>
            <a:lnSpc>
              <a:spcPts val="1000"/>
            </a:lnSpc>
          </a:pPr>
          <a:endParaRPr lang="zh-CN" altLang="en-US" sz="1100"/>
        </a:p>
      </cdr:txBody>
    </cdr:sp>
  </cdr:relSizeAnchor>
</c:userShapes>
</file>

<file path=word/drawings/drawing12.xml><?xml version="1.0" encoding="utf-8"?>
<c:userShapes xmlns:c="http://schemas.openxmlformats.org/drawingml/2006/chart">
  <cdr:relSizeAnchor xmlns:cdr="http://schemas.openxmlformats.org/drawingml/2006/chartDrawing">
    <cdr:from>
      <cdr:x>0.35687</cdr:x>
      <cdr:y>0.01606</cdr:y>
    </cdr:from>
    <cdr:to>
      <cdr:x>0.74677</cdr:x>
      <cdr:y>0.12418</cdr:y>
    </cdr:to>
    <cdr:sp macro="" textlink="">
      <cdr:nvSpPr>
        <cdr:cNvPr id="2" name="TextBox 1"/>
        <cdr:cNvSpPr/>
      </cdr:nvSpPr>
      <cdr:spPr>
        <a:xfrm xmlns:a="http://schemas.openxmlformats.org/drawingml/2006/main">
          <a:off x="1631625" y="46505"/>
          <a:ext cx="1782623" cy="313072"/>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zh-CN" altLang="en-US" sz="1200" b="1"/>
            <a:t>中小学在校学生数</a:t>
          </a:r>
        </a:p>
      </cdr:txBody>
    </cdr:sp>
  </cdr:relSizeAnchor>
  <cdr:relSizeAnchor xmlns:cdr="http://schemas.openxmlformats.org/drawingml/2006/chartDrawing">
    <cdr:from>
      <cdr:x>0.7535</cdr:x>
      <cdr:y>0.9114</cdr:y>
    </cdr:from>
    <cdr:to>
      <cdr:x>0.94584</cdr:x>
      <cdr:y>0.96711</cdr:y>
    </cdr:to>
    <cdr:sp macro="" textlink="">
      <cdr:nvSpPr>
        <cdr:cNvPr id="3" name="TextBox 2"/>
        <cdr:cNvSpPr/>
      </cdr:nvSpPr>
      <cdr:spPr>
        <a:xfrm xmlns:a="http://schemas.openxmlformats.org/drawingml/2006/main">
          <a:off x="3444987" y="2639039"/>
          <a:ext cx="879378" cy="161314"/>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zh-CN" altLang="en-US" sz="800"/>
            <a:t>单位：万人</a:t>
          </a:r>
        </a:p>
      </cdr:txBody>
    </cdr:sp>
  </cdr:relSizeAnchor>
</c:userShapes>
</file>

<file path=word/drawings/drawing13.xml><?xml version="1.0" encoding="utf-8"?>
<c:userShapes xmlns:c="http://schemas.openxmlformats.org/drawingml/2006/chart">
  <cdr:relSizeAnchor xmlns:cdr="http://schemas.openxmlformats.org/drawingml/2006/chartDrawing">
    <cdr:from>
      <cdr:x>0.30208</cdr:x>
      <cdr:y>0.01738</cdr:y>
    </cdr:from>
    <cdr:to>
      <cdr:x>0.79762</cdr:x>
      <cdr:y>0.13222</cdr:y>
    </cdr:to>
    <cdr:sp macro="" textlink="">
      <cdr:nvSpPr>
        <cdr:cNvPr id="2" name="TextBox 1"/>
        <cdr:cNvSpPr/>
      </cdr:nvSpPr>
      <cdr:spPr>
        <a:xfrm xmlns:a="http://schemas.openxmlformats.org/drawingml/2006/main">
          <a:off x="1381126" y="50326"/>
          <a:ext cx="2265594" cy="33253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zh-CN" altLang="zh-CN" sz="1100" b="1">
              <a:effectLst/>
              <a:latin typeface="+mn-lt"/>
              <a:ea typeface="+mn-ea"/>
              <a:cs typeface="+mn-cs"/>
            </a:rPr>
            <a:t>卫生机构床位数及医生数</a:t>
          </a:r>
          <a:endParaRPr lang="zh-CN" altLang="zh-CN" sz="1200">
            <a:effectLst/>
          </a:endParaRPr>
        </a:p>
      </cdr:txBody>
    </cdr:sp>
  </cdr:relSizeAnchor>
</c:userShapes>
</file>

<file path=word/drawings/drawing14.xml><?xml version="1.0" encoding="utf-8"?>
<c:userShapes xmlns:c="http://schemas.openxmlformats.org/drawingml/2006/chart">
  <cdr:relSizeAnchor xmlns:cdr="http://schemas.openxmlformats.org/drawingml/2006/chartDrawing">
    <cdr:from>
      <cdr:x>0.40791</cdr:x>
      <cdr:y>0.02015</cdr:y>
    </cdr:from>
    <cdr:to>
      <cdr:x>0.71596</cdr:x>
      <cdr:y>0.14375</cdr:y>
    </cdr:to>
    <cdr:sp macro="" textlink="">
      <cdr:nvSpPr>
        <cdr:cNvPr id="2" name="TextBox 1"/>
        <cdr:cNvSpPr/>
      </cdr:nvSpPr>
      <cdr:spPr>
        <a:xfrm xmlns:a="http://schemas.openxmlformats.org/drawingml/2006/main">
          <a:off x="1788017" y="42081"/>
          <a:ext cx="1788017" cy="284024"/>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zh-CN" altLang="en-US" sz="1200" b="1"/>
            <a:t>户籍人口</a:t>
          </a:r>
        </a:p>
      </cdr:txBody>
    </cdr:sp>
  </cdr:relSizeAnchor>
</c:userShapes>
</file>

<file path=word/drawings/drawing15.xml><?xml version="1.0" encoding="utf-8"?>
<c:userShapes xmlns:c="http://schemas.openxmlformats.org/drawingml/2006/chart">
  <cdr:relSizeAnchor xmlns:cdr="http://schemas.openxmlformats.org/drawingml/2006/chartDrawing">
    <cdr:from>
      <cdr:x>0.25577</cdr:x>
      <cdr:y>0.0192</cdr:y>
    </cdr:from>
    <cdr:to>
      <cdr:x>0.75472</cdr:x>
      <cdr:y>0.10131</cdr:y>
    </cdr:to>
    <cdr:sp macro="" textlink="">
      <cdr:nvSpPr>
        <cdr:cNvPr id="2" name="TextBox 1"/>
        <cdr:cNvSpPr/>
      </cdr:nvSpPr>
      <cdr:spPr>
        <a:xfrm xmlns:a="http://schemas.openxmlformats.org/drawingml/2006/main">
          <a:off x="1162050" y="55962"/>
          <a:ext cx="2266950" cy="239313"/>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nSpc>
              <a:spcPts val="1400"/>
            </a:lnSpc>
          </a:pPr>
          <a:r>
            <a:rPr lang="zh-CN" altLang="en-US" sz="1200" b="1"/>
            <a:t>城镇常住居民人均可支配收入</a:t>
          </a:r>
        </a:p>
      </cdr:txBody>
    </cdr:sp>
  </cdr:relSizeAnchor>
</c:userShapes>
</file>

<file path=word/drawings/drawing16.xml><?xml version="1.0" encoding="utf-8"?>
<c:userShapes xmlns:c="http://schemas.openxmlformats.org/drawingml/2006/chart">
  <cdr:relSizeAnchor xmlns:cdr="http://schemas.openxmlformats.org/drawingml/2006/chartDrawing">
    <cdr:from>
      <cdr:x>0.25367</cdr:x>
      <cdr:y>0.04248</cdr:y>
    </cdr:from>
    <cdr:to>
      <cdr:x>0.71279</cdr:x>
      <cdr:y>0.12704</cdr:y>
    </cdr:to>
    <cdr:sp macro="" textlink="">
      <cdr:nvSpPr>
        <cdr:cNvPr id="2" name="TextBox 1"/>
        <cdr:cNvSpPr/>
      </cdr:nvSpPr>
      <cdr:spPr>
        <a:xfrm xmlns:a="http://schemas.openxmlformats.org/drawingml/2006/main">
          <a:off x="1152525" y="124223"/>
          <a:ext cx="2085975" cy="247252"/>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marL="0" marR="0" indent="0" defTabSz="914400" eaLnBrk="1" fontAlgn="auto" latinLnBrk="0" hangingPunct="1">
            <a:lnSpc>
              <a:spcPts val="1100"/>
            </a:lnSpc>
            <a:spcBef>
              <a:spcPts val="0"/>
            </a:spcBef>
            <a:spcAft>
              <a:spcPts val="0"/>
            </a:spcAft>
            <a:buClrTx/>
            <a:buSzTx/>
            <a:buFontTx/>
            <a:buNone/>
            <a:defRPr/>
          </a:pPr>
          <a:r>
            <a:rPr lang="zh-CN" altLang="en-US" sz="1100" b="1">
              <a:latin typeface="+mn-lt"/>
              <a:ea typeface="+mn-ea"/>
              <a:cs typeface="+mn-cs"/>
            </a:rPr>
            <a:t>农村</a:t>
          </a:r>
          <a:r>
            <a:rPr lang="zh-CN" altLang="zh-CN" sz="1100" b="1">
              <a:latin typeface="+mn-lt"/>
              <a:ea typeface="+mn-ea"/>
              <a:cs typeface="+mn-cs"/>
            </a:rPr>
            <a:t>常住居民人均可支配收入</a:t>
          </a:r>
          <a:endParaRPr lang="zh-CN" altLang="zh-CN"/>
        </a:p>
        <a:p xmlns:a="http://schemas.openxmlformats.org/drawingml/2006/main">
          <a:pPr>
            <a:lnSpc>
              <a:spcPts val="1100"/>
            </a:lnSpc>
          </a:pPr>
          <a:endParaRPr lang="zh-CN" altLang="en-US" sz="1100"/>
        </a:p>
      </cdr:txBody>
    </cdr:sp>
  </cdr:relSizeAnchor>
</c:userShape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82F1EC-80F5-4D8F-ADCE-69B100EB56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1759</TotalTime>
  <Pages>20</Pages>
  <Words>1195</Words>
  <Characters>6812</Characters>
  <Application>Microsoft Office Word</Application>
  <DocSecurity>0</DocSecurity>
  <Lines>56</Lines>
  <Paragraphs>15</Paragraphs>
  <ScaleCrop>false</ScaleCrop>
  <Company>CHINA</Company>
  <LinksUpToDate>false</LinksUpToDate>
  <CharactersWithSpaces>7992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义政办200</dc:title>
  <dc:creator>毛丫头</dc:creator>
  <cp:lastModifiedBy>Microsoft</cp:lastModifiedBy>
  <cp:revision>140</cp:revision>
  <cp:lastPrinted>2025-04-10T18:48:00Z</cp:lastPrinted>
  <dcterms:created xsi:type="dcterms:W3CDTF">2019-03-05T12:22:00Z</dcterms:created>
  <dcterms:modified xsi:type="dcterms:W3CDTF">2026-05-09T06:39:00Z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2052-11.8.2.1122</vt:lpwstr>
  </property>
  <property fmtid="{D5CDD505-2E9C-101B-9397-08002B2CF9AE}" pid="3" name="oiioBoundaries">
    <vt:bool>true</vt:bool>
  </property>
  <property fmtid="{D5CDD505-2E9C-101B-9397-08002B2CF9AE}" pid="4" name="ICV">
    <vt:lpwstr>F345D0667CC557F023C3F467D4AC6C10</vt:lpwstr>
  </property>
</Properties>
</file>